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7FB55" w14:textId="70C20B51" w:rsidR="00EF1957" w:rsidRDefault="00EF1957" w:rsidP="00EF1957">
      <w:pPr>
        <w:rPr>
          <w:rFonts w:ascii="宋体" w:eastAsia="宋体" w:hAnsi="宋体"/>
          <w:sz w:val="24"/>
          <w:szCs w:val="24"/>
        </w:rPr>
      </w:pPr>
      <w:bookmarkStart w:id="0" w:name="_GoBack"/>
      <w:bookmarkEnd w:id="0"/>
      <w:r w:rsidRPr="00EF1957">
        <w:rPr>
          <w:rFonts w:ascii="宋体" w:eastAsia="宋体" w:hAnsi="宋体" w:hint="eastAsia"/>
          <w:sz w:val="24"/>
          <w:szCs w:val="24"/>
        </w:rPr>
        <w:t>一、法规要求：新版</w:t>
      </w:r>
      <w:r w:rsidRPr="00EF1957">
        <w:rPr>
          <w:rFonts w:ascii="宋体" w:eastAsia="宋体" w:hAnsi="宋体"/>
          <w:sz w:val="24"/>
          <w:szCs w:val="24"/>
        </w:rPr>
        <w:t>GMP（2010年修订）</w:t>
      </w:r>
    </w:p>
    <w:p w14:paraId="21FB6903" w14:textId="4D09567E"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第二百二十三条　物料和不同生产阶段产品的检验应当至少符合以下要求：</w:t>
      </w:r>
    </w:p>
    <w:p w14:paraId="44F8633E"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（一）企业应当确保药品按照注册批准的方法进行全项检验。</w:t>
      </w:r>
    </w:p>
    <w:p w14:paraId="0804227C"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（二）符合下列情形之一的，应当对检验方法进行验证。</w:t>
      </w:r>
    </w:p>
    <w:p w14:paraId="21ABA42C"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1. 采用新的检验方法；</w:t>
      </w:r>
    </w:p>
    <w:p w14:paraId="50C5FD81"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2. 检验方法需变更的；</w:t>
      </w:r>
    </w:p>
    <w:p w14:paraId="569B2FAE"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3. 采用《中华人民共和国药典》及其他法定标准未收载的检验方法；</w:t>
      </w:r>
    </w:p>
    <w:p w14:paraId="1A80FCAE"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4. 法规规定的其他需要验证的检验方法。</w:t>
      </w:r>
    </w:p>
    <w:p w14:paraId="616A6A36"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（三）对不需要进行验证的检验方法，企业应当对检验方法进行确认，以确保检验数据准确、可靠。</w:t>
      </w:r>
    </w:p>
    <w:p w14:paraId="4A799300"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法规要求：中国药典（</w:t>
      </w:r>
      <w:r w:rsidRPr="00EF1957">
        <w:rPr>
          <w:rFonts w:ascii="宋体" w:eastAsia="宋体" w:hAnsi="宋体"/>
          <w:sz w:val="24"/>
          <w:szCs w:val="24"/>
        </w:rPr>
        <w:t>2010年 版）凡例</w:t>
      </w:r>
    </w:p>
    <w:p w14:paraId="35094ABB"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1. 检验方法和限度。</w:t>
      </w:r>
    </w:p>
    <w:p w14:paraId="4084B8B5"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2. 二十三、本版药典正文收载的所有品种，均应按规定的方法进行检验。如采用其他方法，应将该方法与规定的方法做比较试验，根据试验结果掌握使用，但在仲裁时仍以本版药典规定的方法为准。</w:t>
      </w:r>
    </w:p>
    <w:p w14:paraId="04BF9F01" w14:textId="2EC5FF48" w:rsidR="00EF1957" w:rsidRDefault="00EF1957" w:rsidP="00EF1957">
      <w:pPr>
        <w:jc w:val="center"/>
        <w:rPr>
          <w:rFonts w:ascii="宋体" w:eastAsia="宋体" w:hAnsi="宋体"/>
          <w:sz w:val="24"/>
          <w:szCs w:val="24"/>
        </w:rPr>
      </w:pPr>
      <w:r w:rsidRPr="00EF1957">
        <w:rPr>
          <w:rFonts w:ascii="宋体" w:eastAsia="宋体" w:hAnsi="宋体" w:hint="eastAsia"/>
          <w:sz w:val="24"/>
          <w:szCs w:val="24"/>
        </w:rPr>
        <w:t>法规要求：分析方法确认或验证相关指南</w:t>
      </w:r>
    </w:p>
    <w:p w14:paraId="7CDF353C" w14:textId="149E8614" w:rsidR="00EF1957" w:rsidRDefault="00EF1957" w:rsidP="00EF1957">
      <w:pPr>
        <w:rPr>
          <w:rFonts w:ascii="宋体" w:eastAsia="宋体" w:hAnsi="宋体" w:hint="eastAsia"/>
          <w:sz w:val="24"/>
          <w:szCs w:val="24"/>
        </w:rPr>
      </w:pPr>
      <w:r>
        <w:rPr>
          <w:rFonts w:ascii="宋体" w:eastAsia="宋体" w:hAnsi="宋体" w:hint="eastAsia"/>
          <w:noProof/>
          <w:sz w:val="24"/>
          <w:szCs w:val="24"/>
        </w:rPr>
        <w:drawing>
          <wp:inline distT="0" distB="0" distL="0" distR="0" wp14:anchorId="208A7666" wp14:editId="20929D46">
            <wp:extent cx="5274310" cy="31356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4">
                      <a:extLst>
                        <a:ext uri="{28A0092B-C50C-407E-A947-70E740481C1C}">
                          <a14:useLocalDpi xmlns:a14="http://schemas.microsoft.com/office/drawing/2010/main" val="0"/>
                        </a:ext>
                      </a:extLst>
                    </a:blip>
                    <a:stretch>
                      <a:fillRect/>
                    </a:stretch>
                  </pic:blipFill>
                  <pic:spPr>
                    <a:xfrm>
                      <a:off x="0" y="0"/>
                      <a:ext cx="5274310" cy="3135630"/>
                    </a:xfrm>
                    <a:prstGeom prst="rect">
                      <a:avLst/>
                    </a:prstGeom>
                  </pic:spPr>
                </pic:pic>
              </a:graphicData>
            </a:graphic>
          </wp:inline>
        </w:drawing>
      </w:r>
    </w:p>
    <w:p w14:paraId="2B5F0641" w14:textId="59469B46" w:rsidR="00EF1957" w:rsidRDefault="00EF1957" w:rsidP="00EF1957">
      <w:pPr>
        <w:rPr>
          <w:rFonts w:ascii="宋体" w:eastAsia="宋体" w:hAnsi="宋体"/>
          <w:sz w:val="24"/>
          <w:szCs w:val="24"/>
        </w:rPr>
      </w:pPr>
      <w:r w:rsidRPr="00EF1957">
        <w:rPr>
          <w:rFonts w:ascii="宋体" w:eastAsia="宋体" w:hAnsi="宋体" w:hint="eastAsia"/>
          <w:sz w:val="24"/>
          <w:szCs w:val="24"/>
        </w:rPr>
        <w:t>二、分析方法验证</w:t>
      </w:r>
    </w:p>
    <w:p w14:paraId="1D4A01E5" w14:textId="58DCD833" w:rsidR="00EF1957" w:rsidRPr="00EF1957" w:rsidRDefault="00EF1957" w:rsidP="00EF1957">
      <w:pPr>
        <w:rPr>
          <w:rFonts w:ascii="宋体" w:eastAsia="宋体" w:hAnsi="宋体"/>
          <w:sz w:val="24"/>
          <w:szCs w:val="24"/>
        </w:rPr>
      </w:pPr>
      <w:r w:rsidRPr="00EF1957">
        <w:rPr>
          <w:rFonts w:ascii="宋体" w:eastAsia="宋体" w:hAnsi="宋体"/>
          <w:sz w:val="24"/>
          <w:szCs w:val="24"/>
        </w:rPr>
        <w:t>1. 分析方法验证的定义</w:t>
      </w:r>
    </w:p>
    <w:p w14:paraId="3B3770F4"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2. 分析方法验证的目的</w:t>
      </w:r>
    </w:p>
    <w:p w14:paraId="58F51469"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3. 分析方法验证范围</w:t>
      </w:r>
    </w:p>
    <w:p w14:paraId="4D1CDCD5"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4. 分析方法验证的时机</w:t>
      </w:r>
    </w:p>
    <w:p w14:paraId="6750A54D"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5. 需验证的分析方法类型</w:t>
      </w:r>
    </w:p>
    <w:p w14:paraId="1BE27795"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6. 分析方法验证的具体内容</w:t>
      </w:r>
    </w:p>
    <w:p w14:paraId="5A12453A"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7. 验证检测项目小结</w:t>
      </w:r>
    </w:p>
    <w:p w14:paraId="09F6A175"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8. 分析方法验证的方式和步骤</w:t>
      </w:r>
    </w:p>
    <w:p w14:paraId="559CC1BF"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9. 分析方法验证常见问题</w:t>
      </w:r>
    </w:p>
    <w:p w14:paraId="79C197B9"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1. 分析方法验证的定义</w:t>
      </w:r>
    </w:p>
    <w:p w14:paraId="12E67E29" w14:textId="77777777"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是根据检测项目的要求，预先设置一定的验证内容，并通过设计合理的试验</w:t>
      </w:r>
      <w:r w:rsidRPr="00EF1957">
        <w:rPr>
          <w:rFonts w:ascii="宋体" w:eastAsia="宋体" w:hAnsi="宋体" w:hint="eastAsia"/>
          <w:sz w:val="24"/>
          <w:szCs w:val="24"/>
        </w:rPr>
        <w:lastRenderedPageBreak/>
        <w:t>来验证所采用的分析方法能否符合检测项目的要求。</w:t>
      </w:r>
    </w:p>
    <w:p w14:paraId="2F829861"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2. 分析方法验证的目的</w:t>
      </w:r>
    </w:p>
    <w:p w14:paraId="401C7E88"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1）证明采用的分析方法是科学、合理。</w:t>
      </w:r>
    </w:p>
    <w:p w14:paraId="202EF136"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 xml:space="preserve">2）证明分析方法能有效控制药品的内在质量。 </w:t>
      </w:r>
    </w:p>
    <w:p w14:paraId="43E87B3C" w14:textId="2BDBEAA8" w:rsidR="00EF1957" w:rsidRPr="00EF1957" w:rsidRDefault="00EF1957" w:rsidP="00EF1957">
      <w:pPr>
        <w:ind w:firstLineChars="100" w:firstLine="240"/>
        <w:rPr>
          <w:rFonts w:ascii="宋体" w:eastAsia="宋体" w:hAnsi="宋体"/>
          <w:sz w:val="24"/>
          <w:szCs w:val="24"/>
        </w:rPr>
      </w:pPr>
      <w:r w:rsidRPr="00EF1957">
        <w:rPr>
          <w:rFonts w:ascii="宋体" w:eastAsia="宋体" w:hAnsi="宋体" w:hint="eastAsia"/>
          <w:sz w:val="24"/>
          <w:szCs w:val="24"/>
        </w:rPr>
        <w:t>验证过程和结果均应记载在标准起草或修订说明中。</w:t>
      </w:r>
    </w:p>
    <w:p w14:paraId="48CC85BD"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3. 分析方法验证范围</w:t>
      </w:r>
    </w:p>
    <w:p w14:paraId="69336E70"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1）适用范围：化学药品的理化分析方法和仪器分析方法的验证与确认；清洁验证方法的验证。</w:t>
      </w:r>
    </w:p>
    <w:p w14:paraId="7520A32A"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2）不适用：化学药品的微生物方法；生物制品分析方法验证。</w:t>
      </w:r>
    </w:p>
    <w:p w14:paraId="0020725B"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4. 分析方法验证的时机</w:t>
      </w:r>
    </w:p>
    <w:p w14:paraId="77CFB657"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1）建立新的药品质量标准；</w:t>
      </w:r>
    </w:p>
    <w:p w14:paraId="76932B07"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2）药品生产工艺变更；</w:t>
      </w:r>
    </w:p>
    <w:p w14:paraId="06E6AAB3"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3）制剂的组分变更；</w:t>
      </w:r>
    </w:p>
    <w:p w14:paraId="5A2F51F1"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4）对</w:t>
      </w:r>
      <w:proofErr w:type="gramStart"/>
      <w:r w:rsidRPr="00EF1957">
        <w:rPr>
          <w:rFonts w:ascii="宋体" w:eastAsia="宋体" w:hAnsi="宋体"/>
          <w:sz w:val="24"/>
          <w:szCs w:val="24"/>
        </w:rPr>
        <w:t>原分析</w:t>
      </w:r>
      <w:proofErr w:type="gramEnd"/>
      <w:r w:rsidRPr="00EF1957">
        <w:rPr>
          <w:rFonts w:ascii="宋体" w:eastAsia="宋体" w:hAnsi="宋体"/>
          <w:sz w:val="24"/>
          <w:szCs w:val="24"/>
        </w:rPr>
        <w:t xml:space="preserve">方法进行修订时。 </w:t>
      </w:r>
    </w:p>
    <w:p w14:paraId="64677E3D"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方法验证理由、过程和结果均应记载在药品标准起草说明或修订说明中。</w:t>
      </w:r>
    </w:p>
    <w:p w14:paraId="7162D561"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5. 需验证的分析方法类型</w:t>
      </w:r>
    </w:p>
    <w:p w14:paraId="77A0E7AA"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1）鉴别试验</w:t>
      </w:r>
    </w:p>
    <w:p w14:paraId="72E467A8"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2）杂质定量或限度检查（仪器或非仪器检测方法）</w:t>
      </w:r>
    </w:p>
    <w:p w14:paraId="3F697E75"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3）原料药或制剂中活性成分以及制剂中选定组分（如防腐剂等）的定量测定含量测定</w:t>
      </w:r>
    </w:p>
    <w:p w14:paraId="4D253408"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4）化学药品/中药制剂中其他需控制成分(如残留物、添加剂等）的测定</w:t>
      </w:r>
    </w:p>
    <w:p w14:paraId="2749F578"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5）制剂溶出度、释放度等检查</w:t>
      </w:r>
    </w:p>
    <w:p w14:paraId="5B5AB8E9"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 xml:space="preserve">6）原料药粒度检测 </w:t>
      </w:r>
    </w:p>
    <w:p w14:paraId="4274A4F3"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6. 分析方法验证的具体内容</w:t>
      </w:r>
    </w:p>
    <w:p w14:paraId="0FE8E41C"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1）专属性</w:t>
      </w:r>
    </w:p>
    <w:p w14:paraId="7483B3E0"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2）线性</w:t>
      </w:r>
    </w:p>
    <w:p w14:paraId="7B9890EE"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3）范围</w:t>
      </w:r>
    </w:p>
    <w:p w14:paraId="26FD04B5"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4）准确性</w:t>
      </w:r>
    </w:p>
    <w:p w14:paraId="53AA4C2D"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5）精密度</w:t>
      </w:r>
    </w:p>
    <w:p w14:paraId="47392B92"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6）检测限</w:t>
      </w:r>
    </w:p>
    <w:p w14:paraId="774955FB"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7）定量限</w:t>
      </w:r>
    </w:p>
    <w:p w14:paraId="53746522"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8）耐用性</w:t>
      </w:r>
    </w:p>
    <w:p w14:paraId="3358B95F"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9）系统适用性</w:t>
      </w:r>
    </w:p>
    <w:p w14:paraId="6DCC3A31"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根据检测的类型，采用的技术检测方法，确定具体方法拟订验证的内容。</w:t>
      </w:r>
    </w:p>
    <w:p w14:paraId="4EE14AFB"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专属性</w:t>
      </w:r>
    </w:p>
    <w:p w14:paraId="34066FA7"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1. 鉴别、杂质和含量测定的方法学验证中应进行专属性研究，证明专属性所采用的方法取决于分析方法的预定检测对象。</w:t>
      </w:r>
    </w:p>
    <w:p w14:paraId="75F625CB"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2. 一种分析方法不太可能对某一特定的被分析物具有专属性（完全辨别），在此情况下，建议采用两种或两种以上的分析方法以达到所需的辨别水平。</w:t>
      </w:r>
    </w:p>
    <w:p w14:paraId="7F14CB90" w14:textId="77777777"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鉴别：合适的鉴别实验应能区别出可能存在结构相似的化合物。可以通过与已知参比物比较，从含有被分析物的样品中得到的正结果和不含被分析物的样品中得到的</w:t>
      </w:r>
      <w:proofErr w:type="gramStart"/>
      <w:r w:rsidRPr="00EF1957">
        <w:rPr>
          <w:rFonts w:ascii="宋体" w:eastAsia="宋体" w:hAnsi="宋体" w:hint="eastAsia"/>
          <w:sz w:val="24"/>
          <w:szCs w:val="24"/>
        </w:rPr>
        <w:t>负结果</w:t>
      </w:r>
      <w:proofErr w:type="gramEnd"/>
      <w:r w:rsidRPr="00EF1957">
        <w:rPr>
          <w:rFonts w:ascii="宋体" w:eastAsia="宋体" w:hAnsi="宋体" w:hint="eastAsia"/>
          <w:sz w:val="24"/>
          <w:szCs w:val="24"/>
        </w:rPr>
        <w:t>来确定。此外，也可以采用与被测物结构相似或相关的物质进行鉴别实验。对于这些可能会有潜在干扰的物质的选择应当基于对这些干扰的物质做出合理的科学评判。</w:t>
      </w:r>
    </w:p>
    <w:p w14:paraId="5BD24607" w14:textId="77777777"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lastRenderedPageBreak/>
        <w:t>含量测定和杂质检测：</w:t>
      </w:r>
      <w:proofErr w:type="gramStart"/>
      <w:r w:rsidRPr="00EF1957">
        <w:rPr>
          <w:rFonts w:ascii="宋体" w:eastAsia="宋体" w:hAnsi="宋体" w:hint="eastAsia"/>
          <w:sz w:val="24"/>
          <w:szCs w:val="24"/>
        </w:rPr>
        <w:t>对于色</w:t>
      </w:r>
      <w:proofErr w:type="gramEnd"/>
      <w:r w:rsidRPr="00EF1957">
        <w:rPr>
          <w:rFonts w:ascii="宋体" w:eastAsia="宋体" w:hAnsi="宋体" w:hint="eastAsia"/>
          <w:sz w:val="24"/>
          <w:szCs w:val="24"/>
        </w:rPr>
        <w:t>谱方法来说，应当用具有代表性的色谱图来证明专属性，并在图上适当地标出每一种成分，其他分离技术也应当有相似的考虑。应当在适合的程度上研究关键的色谱分离度。对于关键的分离度，能够通过两个洗脱最靠近的化合物之间的分辨率来证明方法的专属性。</w:t>
      </w:r>
    </w:p>
    <w:p w14:paraId="2CD557FB" w14:textId="77777777"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当</w:t>
      </w:r>
      <w:proofErr w:type="gramStart"/>
      <w:r w:rsidRPr="00EF1957">
        <w:rPr>
          <w:rFonts w:ascii="宋体" w:eastAsia="宋体" w:hAnsi="宋体" w:hint="eastAsia"/>
          <w:sz w:val="24"/>
          <w:szCs w:val="24"/>
        </w:rPr>
        <w:t>用非专属性</w:t>
      </w:r>
      <w:proofErr w:type="gramEnd"/>
      <w:r w:rsidRPr="00EF1957">
        <w:rPr>
          <w:rFonts w:ascii="宋体" w:eastAsia="宋体" w:hAnsi="宋体" w:hint="eastAsia"/>
          <w:sz w:val="24"/>
          <w:szCs w:val="24"/>
        </w:rPr>
        <w:t>方法做含量测定时，应当采用其他辅助性的分析方法来证明整体的专属性，例如：</w:t>
      </w:r>
      <w:proofErr w:type="gramStart"/>
      <w:r w:rsidRPr="00EF1957">
        <w:rPr>
          <w:rFonts w:ascii="宋体" w:eastAsia="宋体" w:hAnsi="宋体" w:hint="eastAsia"/>
          <w:sz w:val="24"/>
          <w:szCs w:val="24"/>
        </w:rPr>
        <w:t>当为了</w:t>
      </w:r>
      <w:proofErr w:type="gramEnd"/>
      <w:r w:rsidRPr="00EF1957">
        <w:rPr>
          <w:rFonts w:ascii="宋体" w:eastAsia="宋体" w:hAnsi="宋体" w:hint="eastAsia"/>
          <w:sz w:val="24"/>
          <w:szCs w:val="24"/>
        </w:rPr>
        <w:t>放行而采用滴定法测定原料药含量时，可以合并采用这种含量测定方法以及一种适当的杂质检查方法。</w:t>
      </w:r>
    </w:p>
    <w:p w14:paraId="0F9CFF12"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常用的试验方法</w:t>
      </w:r>
      <w:r w:rsidRPr="00EF1957">
        <w:rPr>
          <w:rFonts w:ascii="宋体" w:eastAsia="宋体" w:hAnsi="宋体"/>
          <w:sz w:val="24"/>
          <w:szCs w:val="24"/>
        </w:rPr>
        <w:t xml:space="preserve">: </w:t>
      </w:r>
    </w:p>
    <w:p w14:paraId="14F20293" w14:textId="77777777"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空白阴性对照试验</w:t>
      </w:r>
    </w:p>
    <w:p w14:paraId="23597B40" w14:textId="77777777"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比较同一分析系统对照品与供</w:t>
      </w:r>
      <w:proofErr w:type="gramStart"/>
      <w:r w:rsidRPr="00EF1957">
        <w:rPr>
          <w:rFonts w:ascii="宋体" w:eastAsia="宋体" w:hAnsi="宋体" w:hint="eastAsia"/>
          <w:sz w:val="24"/>
          <w:szCs w:val="24"/>
        </w:rPr>
        <w:t>试品相应</w:t>
      </w:r>
      <w:proofErr w:type="gramEnd"/>
      <w:r w:rsidRPr="00EF1957">
        <w:rPr>
          <w:rFonts w:ascii="宋体" w:eastAsia="宋体" w:hAnsi="宋体" w:hint="eastAsia"/>
          <w:sz w:val="24"/>
          <w:szCs w:val="24"/>
        </w:rPr>
        <w:t>色谱峰的吸收光谱：</w:t>
      </w:r>
    </w:p>
    <w:p w14:paraId="3ADA026B" w14:textId="77777777"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色谱</w:t>
      </w:r>
      <w:r w:rsidRPr="00EF1957">
        <w:rPr>
          <w:rFonts w:ascii="宋体" w:eastAsia="宋体" w:hAnsi="宋体"/>
          <w:sz w:val="24"/>
          <w:szCs w:val="24"/>
        </w:rPr>
        <w:t>-质谱联用验证待测成分</w:t>
      </w:r>
    </w:p>
    <w:p w14:paraId="589B973D"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线性</w:t>
      </w:r>
    </w:p>
    <w:p w14:paraId="6405ED3A" w14:textId="77777777"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线性系指在设计的范围内，测试结果与</w:t>
      </w:r>
      <w:proofErr w:type="gramStart"/>
      <w:r w:rsidRPr="00EF1957">
        <w:rPr>
          <w:rFonts w:ascii="宋体" w:eastAsia="宋体" w:hAnsi="宋体" w:hint="eastAsia"/>
          <w:sz w:val="24"/>
          <w:szCs w:val="24"/>
        </w:rPr>
        <w:t>供试品中</w:t>
      </w:r>
      <w:proofErr w:type="gramEnd"/>
      <w:r w:rsidRPr="00EF1957">
        <w:rPr>
          <w:rFonts w:ascii="宋体" w:eastAsia="宋体" w:hAnsi="宋体" w:hint="eastAsia"/>
          <w:sz w:val="24"/>
          <w:szCs w:val="24"/>
        </w:rPr>
        <w:t>被测物浓度直接呈正比关系的程度。</w:t>
      </w:r>
    </w:p>
    <w:p w14:paraId="526AC3C1"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试验方法：</w:t>
      </w:r>
    </w:p>
    <w:p w14:paraId="64E49C5A"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1）制备至少包含5个浓度（梯度浓度）的对照品溶液，分别进样测定</w:t>
      </w:r>
    </w:p>
    <w:p w14:paraId="314F0F59"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2）以测得的响应信号作为被测物浓度的函数作图，观察是否呈线性</w:t>
      </w:r>
    </w:p>
    <w:p w14:paraId="410C9D54"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3）最小二乘法进行线性回归</w:t>
      </w:r>
    </w:p>
    <w:p w14:paraId="1BFC6ABF"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数据要求：</w:t>
      </w:r>
    </w:p>
    <w:p w14:paraId="3D97E2F3" w14:textId="77777777"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应列出回归方程、相关系数和线性图。</w:t>
      </w:r>
    </w:p>
    <w:p w14:paraId="06EA5BA6"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范围</w:t>
      </w:r>
    </w:p>
    <w:p w14:paraId="67CA9AD6" w14:textId="77777777"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范围系指能达到一定精密度、准确度和线性，测试方法适用的高低限浓度或量的区间。</w:t>
      </w:r>
      <w:r w:rsidRPr="00EF1957">
        <w:rPr>
          <w:rFonts w:ascii="宋体" w:eastAsia="宋体" w:hAnsi="宋体"/>
          <w:sz w:val="24"/>
          <w:szCs w:val="24"/>
        </w:rPr>
        <w:t xml:space="preserve"> </w:t>
      </w:r>
    </w:p>
    <w:p w14:paraId="4F2749FD" w14:textId="33A84898" w:rsid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确认方法是通过把含有被测物的样品在范围的两个极端和范围内进行测试，考察是否可达到精密度、准确度的线性的要求。</w:t>
      </w:r>
    </w:p>
    <w:p w14:paraId="59F5B19B" w14:textId="665904DF" w:rsidR="00EF1957" w:rsidRDefault="00EF1957" w:rsidP="00EF1957">
      <w:pPr>
        <w:rPr>
          <w:rFonts w:ascii="宋体" w:eastAsia="宋体" w:hAnsi="宋体" w:hint="eastAsia"/>
          <w:sz w:val="24"/>
          <w:szCs w:val="24"/>
        </w:rPr>
      </w:pPr>
      <w:r>
        <w:rPr>
          <w:rFonts w:ascii="宋体" w:eastAsia="宋体" w:hAnsi="宋体" w:hint="eastAsia"/>
          <w:noProof/>
          <w:sz w:val="24"/>
          <w:szCs w:val="24"/>
        </w:rPr>
        <w:drawing>
          <wp:inline distT="0" distB="0" distL="0" distR="0" wp14:anchorId="001CD16E" wp14:editId="3EA5A6BF">
            <wp:extent cx="5274310" cy="28886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a:blip r:embed="rId5">
                      <a:extLst>
                        <a:ext uri="{28A0092B-C50C-407E-A947-70E740481C1C}">
                          <a14:useLocalDpi xmlns:a14="http://schemas.microsoft.com/office/drawing/2010/main" val="0"/>
                        </a:ext>
                      </a:extLst>
                    </a:blip>
                    <a:stretch>
                      <a:fillRect/>
                    </a:stretch>
                  </pic:blipFill>
                  <pic:spPr>
                    <a:xfrm>
                      <a:off x="0" y="0"/>
                      <a:ext cx="5274310" cy="2888615"/>
                    </a:xfrm>
                    <a:prstGeom prst="rect">
                      <a:avLst/>
                    </a:prstGeom>
                  </pic:spPr>
                </pic:pic>
              </a:graphicData>
            </a:graphic>
          </wp:inline>
        </w:drawing>
      </w:r>
    </w:p>
    <w:p w14:paraId="22A87EDE" w14:textId="2E2EA972"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范围（中药和复方制剂）</w:t>
      </w:r>
    </w:p>
    <w:p w14:paraId="05F07D9E" w14:textId="77777777" w:rsid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含量限度有上下限的，一般设定范围低限为含量限度下限的</w:t>
      </w:r>
      <w:r w:rsidRPr="00EF1957">
        <w:rPr>
          <w:rFonts w:ascii="宋体" w:eastAsia="宋体" w:hAnsi="宋体"/>
          <w:sz w:val="24"/>
          <w:szCs w:val="24"/>
        </w:rPr>
        <w:t>50～70％，范围的高限为含量限度上限的130～150％。含量限度仅有低限的，一般设定范围为含量限度的50％～70％至含量限度的2～5倍以上。以标示量规定含量限度的，</w:t>
      </w:r>
      <w:r w:rsidRPr="00EF1957">
        <w:rPr>
          <w:rFonts w:ascii="宋体" w:eastAsia="宋体" w:hAnsi="宋体"/>
          <w:sz w:val="24"/>
          <w:szCs w:val="24"/>
        </w:rPr>
        <w:lastRenderedPageBreak/>
        <w:t xml:space="preserve">可参照化学药， 一般设定范围为标示量的80％～120％。 </w:t>
      </w:r>
    </w:p>
    <w:p w14:paraId="3D4DA5F7" w14:textId="122DE680"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含量限度应根据中药制剂实测结果与原料药材的含量情况确定。尽可能多的测定数据才有足够的代表性，至少应有</w:t>
      </w:r>
      <w:r w:rsidRPr="00EF1957">
        <w:rPr>
          <w:rFonts w:ascii="宋体" w:eastAsia="宋体" w:hAnsi="宋体"/>
          <w:sz w:val="24"/>
          <w:szCs w:val="24"/>
        </w:rPr>
        <w:t>10批以上样品与原料药材数据为依据，一般原粉入药的转移率要求在90%以上。有毒成分及中西药复方制剂中化学药品的含量应规定上下限，上下限幅度应根据测试方法、品种情况、转移率及理论值确定，一般应在±5%～±20%之间，并在安全有效范围内，制定上下限应有充分依据。</w:t>
      </w:r>
    </w:p>
    <w:p w14:paraId="66E4BDC9"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准确度</w:t>
      </w:r>
    </w:p>
    <w:p w14:paraId="7051A5AD" w14:textId="77777777"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系指用该方法测定的结果与真实值或参考值接近的程度，一般用回收率（</w:t>
      </w:r>
      <w:r w:rsidRPr="00EF1957">
        <w:rPr>
          <w:rFonts w:ascii="宋体" w:eastAsia="宋体" w:hAnsi="宋体"/>
          <w:sz w:val="24"/>
          <w:szCs w:val="24"/>
        </w:rPr>
        <w:t xml:space="preserve">%）表示。 </w:t>
      </w:r>
    </w:p>
    <w:p w14:paraId="074DE000"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 xml:space="preserve">a. 以经典方法的测定值作为真值，建立方法的测定数据与之比较。（该法适用于化学药品） </w:t>
      </w:r>
    </w:p>
    <w:p w14:paraId="55DD5243" w14:textId="3BAE8A6F" w:rsidR="00EF1957" w:rsidRDefault="00EF1957" w:rsidP="00EF1957">
      <w:pPr>
        <w:rPr>
          <w:rFonts w:ascii="宋体" w:eastAsia="宋体" w:hAnsi="宋体"/>
          <w:sz w:val="24"/>
          <w:szCs w:val="24"/>
        </w:rPr>
      </w:pPr>
      <w:r w:rsidRPr="00EF1957">
        <w:rPr>
          <w:rFonts w:ascii="宋体" w:eastAsia="宋体" w:hAnsi="宋体"/>
          <w:sz w:val="24"/>
          <w:szCs w:val="24"/>
        </w:rPr>
        <w:t>b. 以加入对照品测定的回收率表示，一般有空白回收（制剂空白）和加样回收测定的方法。（中药材、复方制剂等）</w:t>
      </w:r>
    </w:p>
    <w:p w14:paraId="320193F9" w14:textId="08CC7CB9" w:rsidR="00EF1957" w:rsidRDefault="00EF1957" w:rsidP="00EF1957">
      <w:pPr>
        <w:rPr>
          <w:rFonts w:ascii="宋体" w:eastAsia="宋体" w:hAnsi="宋体" w:hint="eastAsia"/>
          <w:sz w:val="24"/>
          <w:szCs w:val="24"/>
        </w:rPr>
      </w:pPr>
      <w:r>
        <w:rPr>
          <w:rFonts w:ascii="宋体" w:eastAsia="宋体" w:hAnsi="宋体" w:hint="eastAsia"/>
          <w:noProof/>
          <w:sz w:val="24"/>
          <w:szCs w:val="24"/>
        </w:rPr>
        <w:drawing>
          <wp:inline distT="0" distB="0" distL="0" distR="0" wp14:anchorId="27D986D9" wp14:editId="0EF3EAC3">
            <wp:extent cx="4953000" cy="1676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png"/>
                    <pic:cNvPicPr/>
                  </pic:nvPicPr>
                  <pic:blipFill>
                    <a:blip r:embed="rId6">
                      <a:extLst>
                        <a:ext uri="{28A0092B-C50C-407E-A947-70E740481C1C}">
                          <a14:useLocalDpi xmlns:a14="http://schemas.microsoft.com/office/drawing/2010/main" val="0"/>
                        </a:ext>
                      </a:extLst>
                    </a:blip>
                    <a:stretch>
                      <a:fillRect/>
                    </a:stretch>
                  </pic:blipFill>
                  <pic:spPr>
                    <a:xfrm>
                      <a:off x="0" y="0"/>
                      <a:ext cx="4953000" cy="1676400"/>
                    </a:xfrm>
                    <a:prstGeom prst="rect">
                      <a:avLst/>
                    </a:prstGeom>
                  </pic:spPr>
                </pic:pic>
              </a:graphicData>
            </a:graphic>
          </wp:inline>
        </w:drawing>
      </w:r>
    </w:p>
    <w:p w14:paraId="1B00021C" w14:textId="760FC3F4"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准确度</w:t>
      </w:r>
      <w:r w:rsidRPr="00EF1957">
        <w:rPr>
          <w:rFonts w:ascii="宋体" w:eastAsia="宋体" w:hAnsi="宋体"/>
          <w:sz w:val="24"/>
          <w:szCs w:val="24"/>
        </w:rPr>
        <w:t xml:space="preserve"> —原料药</w:t>
      </w:r>
    </w:p>
    <w:p w14:paraId="6A5DB5F9"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1）用已知纯度的被分析物（如参比物质）进行测定。</w:t>
      </w:r>
    </w:p>
    <w:p w14:paraId="281B0E70"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2）</w:t>
      </w:r>
      <w:proofErr w:type="gramStart"/>
      <w:r w:rsidRPr="00EF1957">
        <w:rPr>
          <w:rFonts w:ascii="宋体" w:eastAsia="宋体" w:hAnsi="宋体"/>
          <w:sz w:val="24"/>
          <w:szCs w:val="24"/>
        </w:rPr>
        <w:t>用提出</w:t>
      </w:r>
      <w:proofErr w:type="gramEnd"/>
      <w:r w:rsidRPr="00EF1957">
        <w:rPr>
          <w:rFonts w:ascii="宋体" w:eastAsia="宋体" w:hAnsi="宋体"/>
          <w:sz w:val="24"/>
          <w:szCs w:val="24"/>
        </w:rPr>
        <w:t>的分析方法的检测结果与第二种成熟的分析方法的检测结果做比较，而后者的准确性是有规定的和（或）经确定的。</w:t>
      </w:r>
    </w:p>
    <w:p w14:paraId="3105B7A1"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3）准确性可以在精密度、线性和专属性建立后，推论而得。</w:t>
      </w:r>
    </w:p>
    <w:p w14:paraId="43626644"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准确度</w:t>
      </w:r>
      <w:r w:rsidRPr="00EF1957">
        <w:rPr>
          <w:rFonts w:ascii="宋体" w:eastAsia="宋体" w:hAnsi="宋体"/>
          <w:sz w:val="24"/>
          <w:szCs w:val="24"/>
        </w:rPr>
        <w:t xml:space="preserve"> —制剂</w:t>
      </w:r>
    </w:p>
    <w:p w14:paraId="30FA232F"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1）用该分析方法测定药物制剂成分与添加的已知量被分析原料药的混合物？</w:t>
      </w:r>
    </w:p>
    <w:p w14:paraId="07248BCF"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 xml:space="preserve">2）如在不能获得制剂所有成分的样品时，可以将已知量的被分析物加入到制剂中，或者将测得的结果与另一种已鉴定分析方法的分析结果进行比较，而后者的准确性是有规定的和（或）经确定的。 </w:t>
      </w:r>
    </w:p>
    <w:p w14:paraId="20142D7D"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3）在精密度、线性和专属性建立后，可以推断准确性。</w:t>
      </w:r>
    </w:p>
    <w:p w14:paraId="4121CB1C"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准确度</w:t>
      </w:r>
      <w:r w:rsidRPr="00EF1957">
        <w:rPr>
          <w:rFonts w:ascii="宋体" w:eastAsia="宋体" w:hAnsi="宋体"/>
          <w:sz w:val="24"/>
          <w:szCs w:val="24"/>
        </w:rPr>
        <w:t>-杂质的定量测定</w:t>
      </w:r>
    </w:p>
    <w:p w14:paraId="4879BB93"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1）应当通过用已知量杂质加强样品（原料药／制剂）检测信号的方式来评价准确性。</w:t>
      </w:r>
    </w:p>
    <w:p w14:paraId="011DDE68"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2） 在不能获得特定杂质和（或）降解产物样品的情况下，可以考虑与另一种成熟的方法所测得的结果做比较。可以使用原料药的响应因子。如药典方法或经过验证的方法。</w:t>
      </w:r>
    </w:p>
    <w:p w14:paraId="71E9F3C0"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3）应当明确如何确定每个单一杂质或总杂质：如：所有成分相对于主</w:t>
      </w:r>
      <w:proofErr w:type="gramStart"/>
      <w:r w:rsidRPr="00EF1957">
        <w:rPr>
          <w:rFonts w:ascii="宋体" w:eastAsia="宋体" w:hAnsi="宋体"/>
          <w:sz w:val="24"/>
          <w:szCs w:val="24"/>
        </w:rPr>
        <w:t>摹</w:t>
      </w:r>
      <w:proofErr w:type="gramEnd"/>
      <w:r w:rsidRPr="00EF1957">
        <w:rPr>
          <w:rFonts w:ascii="宋体" w:eastAsia="宋体" w:hAnsi="宋体"/>
          <w:sz w:val="24"/>
          <w:szCs w:val="24"/>
        </w:rPr>
        <w:t>被分析物的重量／重量首分比或峰面积百分比。</w:t>
      </w:r>
    </w:p>
    <w:p w14:paraId="59494CD3" w14:textId="3E820385" w:rsidR="00EF1957" w:rsidRDefault="00EF1957" w:rsidP="00EF1957">
      <w:pPr>
        <w:rPr>
          <w:rFonts w:ascii="宋体" w:eastAsia="宋体" w:hAnsi="宋体"/>
          <w:sz w:val="24"/>
          <w:szCs w:val="24"/>
        </w:rPr>
      </w:pPr>
      <w:r w:rsidRPr="00EF1957">
        <w:rPr>
          <w:rFonts w:ascii="宋体" w:eastAsia="宋体" w:hAnsi="宋体" w:hint="eastAsia"/>
          <w:sz w:val="24"/>
          <w:szCs w:val="24"/>
        </w:rPr>
        <w:t>某成分含量测定－回收率</w:t>
      </w:r>
      <w:r w:rsidRPr="00EF1957">
        <w:rPr>
          <w:rFonts w:ascii="宋体" w:eastAsia="宋体" w:hAnsi="宋体"/>
          <w:sz w:val="24"/>
          <w:szCs w:val="24"/>
        </w:rPr>
        <w:t>1</w:t>
      </w:r>
    </w:p>
    <w:p w14:paraId="1CCDE680" w14:textId="6F05D490" w:rsidR="00EF1957" w:rsidRDefault="00EF1957" w:rsidP="00EF1957">
      <w:pPr>
        <w:rPr>
          <w:rFonts w:ascii="宋体" w:eastAsia="宋体" w:hAnsi="宋体"/>
          <w:sz w:val="24"/>
          <w:szCs w:val="24"/>
        </w:rPr>
      </w:pPr>
      <w:r>
        <w:rPr>
          <w:rFonts w:ascii="宋体" w:eastAsia="宋体" w:hAnsi="宋体"/>
          <w:noProof/>
          <w:sz w:val="24"/>
          <w:szCs w:val="24"/>
        </w:rPr>
        <w:lastRenderedPageBreak/>
        <w:drawing>
          <wp:inline distT="0" distB="0" distL="0" distR="0" wp14:anchorId="4DB88B41" wp14:editId="7D49A68E">
            <wp:extent cx="5274310" cy="33375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337560"/>
                    </a:xfrm>
                    <a:prstGeom prst="rect">
                      <a:avLst/>
                    </a:prstGeom>
                  </pic:spPr>
                </pic:pic>
              </a:graphicData>
            </a:graphic>
          </wp:inline>
        </w:drawing>
      </w:r>
    </w:p>
    <w:p w14:paraId="043803FA" w14:textId="0D878382" w:rsidR="00EF1957" w:rsidRDefault="00EF1957" w:rsidP="00EF1957">
      <w:pPr>
        <w:rPr>
          <w:rFonts w:ascii="宋体" w:eastAsia="宋体" w:hAnsi="宋体"/>
          <w:sz w:val="24"/>
          <w:szCs w:val="24"/>
        </w:rPr>
      </w:pPr>
      <w:r w:rsidRPr="00EF1957">
        <w:rPr>
          <w:rFonts w:ascii="宋体" w:eastAsia="宋体" w:hAnsi="宋体" w:hint="eastAsia"/>
          <w:sz w:val="24"/>
          <w:szCs w:val="24"/>
        </w:rPr>
        <w:t>某成分－回收率</w:t>
      </w:r>
      <w:r w:rsidRPr="00EF1957">
        <w:rPr>
          <w:rFonts w:ascii="宋体" w:eastAsia="宋体" w:hAnsi="宋体"/>
          <w:sz w:val="24"/>
          <w:szCs w:val="24"/>
        </w:rPr>
        <w:t>2</w:t>
      </w:r>
    </w:p>
    <w:p w14:paraId="22CCD7B0" w14:textId="3DE0F0F6" w:rsidR="00EF1957" w:rsidRDefault="00EF1957" w:rsidP="00EF1957">
      <w:pPr>
        <w:rPr>
          <w:rFonts w:ascii="宋体" w:eastAsia="宋体" w:hAnsi="宋体"/>
          <w:sz w:val="24"/>
          <w:szCs w:val="24"/>
        </w:rPr>
      </w:pPr>
      <w:r>
        <w:rPr>
          <w:rFonts w:ascii="宋体" w:eastAsia="宋体" w:hAnsi="宋体"/>
          <w:noProof/>
          <w:sz w:val="24"/>
          <w:szCs w:val="24"/>
        </w:rPr>
        <w:drawing>
          <wp:inline distT="0" distB="0" distL="0" distR="0" wp14:anchorId="7988E8C7" wp14:editId="60B7789B">
            <wp:extent cx="5274310" cy="317944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jpg"/>
                    <pic:cNvPicPr/>
                  </pic:nvPicPr>
                  <pic:blipFill>
                    <a:blip r:embed="rId8">
                      <a:extLst>
                        <a:ext uri="{28A0092B-C50C-407E-A947-70E740481C1C}">
                          <a14:useLocalDpi xmlns:a14="http://schemas.microsoft.com/office/drawing/2010/main" val="0"/>
                        </a:ext>
                      </a:extLst>
                    </a:blip>
                    <a:stretch>
                      <a:fillRect/>
                    </a:stretch>
                  </pic:blipFill>
                  <pic:spPr>
                    <a:xfrm>
                      <a:off x="0" y="0"/>
                      <a:ext cx="5274310" cy="3179445"/>
                    </a:xfrm>
                    <a:prstGeom prst="rect">
                      <a:avLst/>
                    </a:prstGeom>
                  </pic:spPr>
                </pic:pic>
              </a:graphicData>
            </a:graphic>
          </wp:inline>
        </w:drawing>
      </w:r>
    </w:p>
    <w:p w14:paraId="5717C2C3" w14:textId="799ABA61" w:rsidR="00EF1957" w:rsidRDefault="00EF1957" w:rsidP="00EF1957">
      <w:pPr>
        <w:rPr>
          <w:rFonts w:ascii="宋体" w:eastAsia="宋体" w:hAnsi="宋体"/>
          <w:sz w:val="24"/>
          <w:szCs w:val="24"/>
        </w:rPr>
      </w:pPr>
      <w:r w:rsidRPr="00EF1957">
        <w:rPr>
          <w:rFonts w:ascii="宋体" w:eastAsia="宋体" w:hAnsi="宋体" w:hint="eastAsia"/>
          <w:sz w:val="24"/>
          <w:szCs w:val="24"/>
        </w:rPr>
        <w:t>某成分含量测定－回收率</w:t>
      </w:r>
      <w:r w:rsidRPr="00EF1957">
        <w:rPr>
          <w:rFonts w:ascii="宋体" w:eastAsia="宋体" w:hAnsi="宋体"/>
          <w:sz w:val="24"/>
          <w:szCs w:val="24"/>
        </w:rPr>
        <w:t>3</w:t>
      </w:r>
    </w:p>
    <w:p w14:paraId="3FED26E8" w14:textId="2AA5CEDF" w:rsidR="00EF1957" w:rsidRDefault="00EF1957" w:rsidP="00EF1957">
      <w:pPr>
        <w:rPr>
          <w:rFonts w:ascii="宋体" w:eastAsia="宋体" w:hAnsi="宋体"/>
          <w:sz w:val="24"/>
          <w:szCs w:val="24"/>
        </w:rPr>
      </w:pPr>
      <w:r>
        <w:rPr>
          <w:rFonts w:ascii="宋体" w:eastAsia="宋体" w:hAnsi="宋体"/>
          <w:noProof/>
          <w:sz w:val="24"/>
          <w:szCs w:val="24"/>
        </w:rPr>
        <w:lastRenderedPageBreak/>
        <w:drawing>
          <wp:inline distT="0" distB="0" distL="0" distR="0" wp14:anchorId="35FDFBD5" wp14:editId="71BC85C7">
            <wp:extent cx="5274310" cy="32943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294380"/>
                    </a:xfrm>
                    <a:prstGeom prst="rect">
                      <a:avLst/>
                    </a:prstGeom>
                  </pic:spPr>
                </pic:pic>
              </a:graphicData>
            </a:graphic>
          </wp:inline>
        </w:drawing>
      </w:r>
    </w:p>
    <w:p w14:paraId="3B26F2E0" w14:textId="73FD4A49"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精密度</w:t>
      </w:r>
    </w:p>
    <w:p w14:paraId="60404075" w14:textId="77777777"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精密度系指在规定的测试条件下，同一个均匀供试品，经多次取样测定所得结果之间的接近程度。精密度一般用偏差、标准偏差或相对标准偏差表示。</w:t>
      </w:r>
    </w:p>
    <w:p w14:paraId="1BF5B47A"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 xml:space="preserve">1）重复性 </w:t>
      </w:r>
    </w:p>
    <w:p w14:paraId="3C197C58"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 xml:space="preserve">2）中间精密度 </w:t>
      </w:r>
    </w:p>
    <w:p w14:paraId="38C41582"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 xml:space="preserve">3）重现性 </w:t>
      </w:r>
    </w:p>
    <w:p w14:paraId="62923A28" w14:textId="68651F99" w:rsidR="00EF1957" w:rsidRDefault="00EF1957" w:rsidP="00EF1957">
      <w:pPr>
        <w:rPr>
          <w:rFonts w:ascii="宋体" w:eastAsia="宋体" w:hAnsi="宋体"/>
          <w:sz w:val="24"/>
          <w:szCs w:val="24"/>
        </w:rPr>
      </w:pPr>
      <w:r w:rsidRPr="00EF1957">
        <w:rPr>
          <w:rFonts w:ascii="宋体" w:eastAsia="宋体" w:hAnsi="宋体" w:hint="eastAsia"/>
          <w:sz w:val="24"/>
          <w:szCs w:val="24"/>
        </w:rPr>
        <w:t>精密度</w:t>
      </w:r>
      <w:r w:rsidRPr="00EF1957">
        <w:rPr>
          <w:rFonts w:ascii="宋体" w:eastAsia="宋体" w:hAnsi="宋体"/>
          <w:sz w:val="24"/>
          <w:szCs w:val="24"/>
        </w:rPr>
        <w:t>--验证方法</w:t>
      </w:r>
    </w:p>
    <w:p w14:paraId="0A7A179D" w14:textId="5C55446D" w:rsidR="00EF1957" w:rsidRDefault="00EF1957" w:rsidP="00EF1957">
      <w:pPr>
        <w:rPr>
          <w:rFonts w:ascii="宋体" w:eastAsia="宋体" w:hAnsi="宋体" w:hint="eastAsia"/>
          <w:sz w:val="24"/>
          <w:szCs w:val="24"/>
        </w:rPr>
      </w:pPr>
      <w:r>
        <w:rPr>
          <w:rFonts w:ascii="宋体" w:eastAsia="宋体" w:hAnsi="宋体" w:hint="eastAsia"/>
          <w:noProof/>
          <w:sz w:val="24"/>
          <w:szCs w:val="24"/>
        </w:rPr>
        <w:drawing>
          <wp:inline distT="0" distB="0" distL="0" distR="0" wp14:anchorId="4E2EF365" wp14:editId="7BF6FE8B">
            <wp:extent cx="5274310" cy="33826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382645"/>
                    </a:xfrm>
                    <a:prstGeom prst="rect">
                      <a:avLst/>
                    </a:prstGeom>
                  </pic:spPr>
                </pic:pic>
              </a:graphicData>
            </a:graphic>
          </wp:inline>
        </w:drawing>
      </w:r>
    </w:p>
    <w:p w14:paraId="43771FD5" w14:textId="45979093"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检出限（</w:t>
      </w:r>
      <w:r w:rsidRPr="00EF1957">
        <w:rPr>
          <w:rFonts w:ascii="宋体" w:eastAsia="宋体" w:hAnsi="宋体"/>
          <w:sz w:val="24"/>
          <w:szCs w:val="24"/>
        </w:rPr>
        <w:t>Limit of Detection，LOD）</w:t>
      </w:r>
    </w:p>
    <w:p w14:paraId="4C0D0838" w14:textId="77777777" w:rsidR="00EF1957" w:rsidRPr="00EF1957" w:rsidRDefault="00EF1957" w:rsidP="00EF1957">
      <w:pPr>
        <w:ind w:firstLineChars="200" w:firstLine="480"/>
        <w:rPr>
          <w:rFonts w:ascii="宋体" w:eastAsia="宋体" w:hAnsi="宋体"/>
          <w:sz w:val="24"/>
          <w:szCs w:val="24"/>
        </w:rPr>
      </w:pPr>
      <w:r w:rsidRPr="00EF1957">
        <w:rPr>
          <w:rFonts w:ascii="宋体" w:eastAsia="宋体" w:hAnsi="宋体" w:hint="eastAsia"/>
          <w:sz w:val="24"/>
          <w:szCs w:val="24"/>
        </w:rPr>
        <w:t>检测限系</w:t>
      </w:r>
      <w:proofErr w:type="gramStart"/>
      <w:r w:rsidRPr="00EF1957">
        <w:rPr>
          <w:rFonts w:ascii="宋体" w:eastAsia="宋体" w:hAnsi="宋体" w:hint="eastAsia"/>
          <w:sz w:val="24"/>
          <w:szCs w:val="24"/>
        </w:rPr>
        <w:t>指供试品中</w:t>
      </w:r>
      <w:proofErr w:type="gramEnd"/>
      <w:r w:rsidRPr="00EF1957">
        <w:rPr>
          <w:rFonts w:ascii="宋体" w:eastAsia="宋体" w:hAnsi="宋体" w:hint="eastAsia"/>
          <w:sz w:val="24"/>
          <w:szCs w:val="24"/>
        </w:rPr>
        <w:t>被测物能被检测出的最低量。</w:t>
      </w:r>
    </w:p>
    <w:p w14:paraId="2B011E04"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lastRenderedPageBreak/>
        <w:t>a. 非仪器分析目视法</w:t>
      </w:r>
    </w:p>
    <w:p w14:paraId="64E958D7"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通过对一系列含有已知浓度分析物的样品进行分析，以确定能够被可靠测定的分析物的最低浓度。</w:t>
      </w:r>
    </w:p>
    <w:p w14:paraId="670224B1"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b. 仪器法（信噪比法）</w:t>
      </w:r>
    </w:p>
    <w:p w14:paraId="58468C6A"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该方法仅适用于出现基线噪音的分析方法。信噪比的确定是通过比较含已知低浓度被分析物样品与空白样品的测试信号，确定被分析物可以靠被检测到的最小浓度。通常信噪比为</w:t>
      </w:r>
      <w:r w:rsidRPr="00EF1957">
        <w:rPr>
          <w:rFonts w:ascii="宋体" w:eastAsia="宋体" w:hAnsi="宋体"/>
          <w:sz w:val="24"/>
          <w:szCs w:val="24"/>
        </w:rPr>
        <w:t>3：1或2：1时，检测限可以被接受。</w:t>
      </w:r>
    </w:p>
    <w:p w14:paraId="2585B0DA"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检测限系</w:t>
      </w:r>
      <w:proofErr w:type="gramStart"/>
      <w:r w:rsidRPr="00EF1957">
        <w:rPr>
          <w:rFonts w:ascii="宋体" w:eastAsia="宋体" w:hAnsi="宋体" w:hint="eastAsia"/>
          <w:sz w:val="24"/>
          <w:szCs w:val="24"/>
        </w:rPr>
        <w:t>指供试品中</w:t>
      </w:r>
      <w:proofErr w:type="gramEnd"/>
      <w:r w:rsidRPr="00EF1957">
        <w:rPr>
          <w:rFonts w:ascii="宋体" w:eastAsia="宋体" w:hAnsi="宋体" w:hint="eastAsia"/>
          <w:sz w:val="24"/>
          <w:szCs w:val="24"/>
        </w:rPr>
        <w:t>被测物能被检测出的最低量。</w:t>
      </w:r>
    </w:p>
    <w:p w14:paraId="14DE55B8"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c. 响应值的标准差和斜率</w:t>
      </w:r>
    </w:p>
    <w:p w14:paraId="308B2200"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检测限（</w:t>
      </w:r>
      <w:r w:rsidRPr="00EF1957">
        <w:rPr>
          <w:rFonts w:ascii="宋体" w:eastAsia="宋体" w:hAnsi="宋体"/>
          <w:sz w:val="24"/>
          <w:szCs w:val="24"/>
        </w:rPr>
        <w:t>DL）可以表达为：DL=3.3σ /S式中，σ为响应值的标准差；S为校正曲线的斜率。</w:t>
      </w:r>
    </w:p>
    <w:p w14:paraId="64A42FA4"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斜率</w:t>
      </w:r>
      <w:r w:rsidRPr="00EF1957">
        <w:rPr>
          <w:rFonts w:ascii="宋体" w:eastAsia="宋体" w:hAnsi="宋体"/>
          <w:sz w:val="24"/>
          <w:szCs w:val="24"/>
        </w:rPr>
        <w:t>s可从被分析物的校正曲线来估算，而σ值可由多种途径估算。例如：基于空白的标准差；基于校正曲线。</w:t>
      </w:r>
    </w:p>
    <w:p w14:paraId="09C49806"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数据要求：</w:t>
      </w:r>
    </w:p>
    <w:p w14:paraId="5608D1CE"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1）应当提供检测限和测定检测限的方法。</w:t>
      </w:r>
    </w:p>
    <w:p w14:paraId="2B65AB72"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2）如果方法采用目测法和信噪比法，应提供测试图谱。</w:t>
      </w:r>
    </w:p>
    <w:p w14:paraId="766F058F"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3）如果通过计算或外推法得到检测限的估算值，可对一系列或等于检测限样品的独立分析来验证这一估算值。</w:t>
      </w:r>
    </w:p>
    <w:p w14:paraId="1C35344A"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定量限（</w:t>
      </w:r>
      <w:r w:rsidRPr="00EF1957">
        <w:rPr>
          <w:rFonts w:ascii="宋体" w:eastAsia="宋体" w:hAnsi="宋体"/>
          <w:sz w:val="24"/>
          <w:szCs w:val="24"/>
        </w:rPr>
        <w:t>Limit of Quantitative, LOQ）</w:t>
      </w:r>
    </w:p>
    <w:p w14:paraId="4023BFBE"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定义：定量</w:t>
      </w:r>
      <w:proofErr w:type="gramStart"/>
      <w:r w:rsidRPr="00EF1957">
        <w:rPr>
          <w:rFonts w:ascii="宋体" w:eastAsia="宋体" w:hAnsi="宋体" w:hint="eastAsia"/>
          <w:sz w:val="24"/>
          <w:szCs w:val="24"/>
        </w:rPr>
        <w:t>限系指供试品</w:t>
      </w:r>
      <w:proofErr w:type="gramEnd"/>
      <w:r w:rsidRPr="00EF1957">
        <w:rPr>
          <w:rFonts w:ascii="宋体" w:eastAsia="宋体" w:hAnsi="宋体" w:hint="eastAsia"/>
          <w:sz w:val="24"/>
          <w:szCs w:val="24"/>
        </w:rPr>
        <w:t>中被测成分能被定量测定的最低量，其测定结果应具一定准确度和精密度。杂质和降解产物用定量测定方法研究时，应确定定量限。</w:t>
      </w:r>
      <w:r w:rsidRPr="00EF1957">
        <w:rPr>
          <w:rFonts w:ascii="宋体" w:eastAsia="宋体" w:hAnsi="宋体"/>
          <w:sz w:val="24"/>
          <w:szCs w:val="24"/>
        </w:rPr>
        <w:t xml:space="preserve"> </w:t>
      </w:r>
    </w:p>
    <w:p w14:paraId="367FB317"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试验方法：</w:t>
      </w:r>
    </w:p>
    <w:p w14:paraId="5C0655BE"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1）目测法</w:t>
      </w:r>
    </w:p>
    <w:p w14:paraId="7A143270"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2）信噪比法：以信噪比10:1时的浓度（或量）进样测定,重复测定的响应值应满足精密度要求。</w:t>
      </w:r>
    </w:p>
    <w:p w14:paraId="73DFD969"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3）基于响应值的标准差和斜率</w:t>
      </w:r>
    </w:p>
    <w:p w14:paraId="6DA4928B"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耐用性</w:t>
      </w:r>
    </w:p>
    <w:p w14:paraId="5D96D302"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定义：耐用性系指在测定条件有小的变动时，测定结果不受影响的承受程度。</w:t>
      </w:r>
    </w:p>
    <w:p w14:paraId="7E29DEF2"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1. 耐用性进行评估应当在研制阶段就加以考虑，它取决于所研究的分析方法类型。应表明在对方法参数进行有意改变后，分析方法依然可靠</w:t>
      </w:r>
    </w:p>
    <w:p w14:paraId="275AE759"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2. 如果测定的结果表明该方法对分析条件的变化是敏感的，那么这些分析条件就应适当地加以控制或在方法中预先提出告诫。因此应当对耐用性进行评估，并建立一系列的系统适用性参数（如分离度实验），以确保该分析方法在任何时候都可以保持有效性。</w:t>
      </w:r>
    </w:p>
    <w:p w14:paraId="6569F781"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3. 如果测试条件要求苛刻，则应在方法中写明。</w:t>
      </w:r>
    </w:p>
    <w:p w14:paraId="2D48F637"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考察因素：分析溶液的稳定性；样品的提取次数、时间；液相色谱方法；流动相</w:t>
      </w:r>
      <w:r w:rsidRPr="00EF1957">
        <w:rPr>
          <w:rFonts w:ascii="宋体" w:eastAsia="宋体" w:hAnsi="宋体"/>
          <w:sz w:val="24"/>
          <w:szCs w:val="24"/>
        </w:rPr>
        <w:t>pH值变化的影响；流动相组分变化的影响；不同色谱柱（和／或供应商）；温度； 流速。</w:t>
      </w:r>
    </w:p>
    <w:p w14:paraId="631A7A77"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气相色谱方法：不同色谱柱（不同的批号和／或供应商）；温度；流速；固定相；不同类型的载体</w:t>
      </w:r>
      <w:r w:rsidRPr="00EF1957">
        <w:rPr>
          <w:rFonts w:ascii="宋体" w:eastAsia="宋体" w:hAnsi="宋体"/>
          <w:sz w:val="24"/>
          <w:szCs w:val="24"/>
        </w:rPr>
        <w:t xml:space="preserve"> 。</w:t>
      </w:r>
    </w:p>
    <w:p w14:paraId="09D902F2"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薄层色谱法：不同品牌的薄层板；点样方式；薄层展开时温度及相对湿度的变化。</w:t>
      </w:r>
    </w:p>
    <w:p w14:paraId="5EF5358A" w14:textId="1A3BEE6A" w:rsidR="00EF1957" w:rsidRDefault="00EF1957" w:rsidP="00EF1957">
      <w:pPr>
        <w:rPr>
          <w:rFonts w:ascii="宋体" w:eastAsia="宋体" w:hAnsi="宋体"/>
          <w:sz w:val="24"/>
          <w:szCs w:val="24"/>
        </w:rPr>
      </w:pPr>
      <w:r w:rsidRPr="00EF1957">
        <w:rPr>
          <w:rFonts w:ascii="宋体" w:eastAsia="宋体" w:hAnsi="宋体" w:hint="eastAsia"/>
          <w:sz w:val="24"/>
          <w:szCs w:val="24"/>
        </w:rPr>
        <w:t>试验示例</w:t>
      </w:r>
      <w:r w:rsidRPr="00EF1957">
        <w:rPr>
          <w:rFonts w:ascii="宋体" w:eastAsia="宋体" w:hAnsi="宋体"/>
          <w:sz w:val="24"/>
          <w:szCs w:val="24"/>
        </w:rPr>
        <w:t>--</w:t>
      </w:r>
      <w:proofErr w:type="gramStart"/>
      <w:r w:rsidRPr="00EF1957">
        <w:rPr>
          <w:rFonts w:ascii="宋体" w:eastAsia="宋体" w:hAnsi="宋体"/>
          <w:sz w:val="24"/>
          <w:szCs w:val="24"/>
        </w:rPr>
        <w:t>不同柱温比较</w:t>
      </w:r>
      <w:proofErr w:type="gramEnd"/>
      <w:r w:rsidRPr="00EF1957">
        <w:rPr>
          <w:rFonts w:ascii="宋体" w:eastAsia="宋体" w:hAnsi="宋体"/>
          <w:sz w:val="24"/>
          <w:szCs w:val="24"/>
        </w:rPr>
        <w:t xml:space="preserve"> </w:t>
      </w:r>
    </w:p>
    <w:p w14:paraId="0836265D" w14:textId="2CF29B40" w:rsidR="00D919A9" w:rsidRDefault="00D919A9" w:rsidP="00EF1957">
      <w:pPr>
        <w:rPr>
          <w:rFonts w:ascii="宋体" w:eastAsia="宋体" w:hAnsi="宋体"/>
          <w:sz w:val="24"/>
          <w:szCs w:val="24"/>
        </w:rPr>
      </w:pPr>
      <w:r>
        <w:rPr>
          <w:rFonts w:ascii="宋体" w:eastAsia="宋体" w:hAnsi="宋体"/>
          <w:noProof/>
          <w:sz w:val="24"/>
          <w:szCs w:val="24"/>
        </w:rPr>
        <w:lastRenderedPageBreak/>
        <w:drawing>
          <wp:inline distT="0" distB="0" distL="0" distR="0" wp14:anchorId="723A9EE5" wp14:editId="56161C71">
            <wp:extent cx="4591050" cy="2438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png"/>
                    <pic:cNvPicPr/>
                  </pic:nvPicPr>
                  <pic:blipFill>
                    <a:blip r:embed="rId11">
                      <a:extLst>
                        <a:ext uri="{28A0092B-C50C-407E-A947-70E740481C1C}">
                          <a14:useLocalDpi xmlns:a14="http://schemas.microsoft.com/office/drawing/2010/main" val="0"/>
                        </a:ext>
                      </a:extLst>
                    </a:blip>
                    <a:stretch>
                      <a:fillRect/>
                    </a:stretch>
                  </pic:blipFill>
                  <pic:spPr>
                    <a:xfrm>
                      <a:off x="0" y="0"/>
                      <a:ext cx="4591050" cy="2438400"/>
                    </a:xfrm>
                    <a:prstGeom prst="rect">
                      <a:avLst/>
                    </a:prstGeom>
                  </pic:spPr>
                </pic:pic>
              </a:graphicData>
            </a:graphic>
          </wp:inline>
        </w:drawing>
      </w:r>
    </w:p>
    <w:p w14:paraId="1702913A" w14:textId="294E0A19" w:rsidR="00EF1957" w:rsidRDefault="00EF1957" w:rsidP="00EF1957">
      <w:pPr>
        <w:rPr>
          <w:rFonts w:ascii="宋体" w:eastAsia="宋体" w:hAnsi="宋体"/>
          <w:sz w:val="24"/>
          <w:szCs w:val="24"/>
        </w:rPr>
      </w:pPr>
      <w:r w:rsidRPr="00EF1957">
        <w:rPr>
          <w:rFonts w:ascii="宋体" w:eastAsia="宋体" w:hAnsi="宋体" w:hint="eastAsia"/>
          <w:sz w:val="24"/>
          <w:szCs w:val="24"/>
        </w:rPr>
        <w:t>试验示例</w:t>
      </w:r>
      <w:r w:rsidRPr="00EF1957">
        <w:rPr>
          <w:rFonts w:ascii="宋体" w:eastAsia="宋体" w:hAnsi="宋体"/>
          <w:sz w:val="24"/>
          <w:szCs w:val="24"/>
        </w:rPr>
        <w:t xml:space="preserve">--不同检测波长的比较 </w:t>
      </w:r>
    </w:p>
    <w:p w14:paraId="31E61BE7" w14:textId="394DCD70" w:rsidR="00D919A9" w:rsidRDefault="00D919A9" w:rsidP="00EF1957">
      <w:pPr>
        <w:rPr>
          <w:rFonts w:ascii="宋体" w:eastAsia="宋体" w:hAnsi="宋体"/>
          <w:sz w:val="24"/>
          <w:szCs w:val="24"/>
        </w:rPr>
      </w:pPr>
      <w:r>
        <w:rPr>
          <w:rFonts w:ascii="宋体" w:eastAsia="宋体" w:hAnsi="宋体"/>
          <w:noProof/>
          <w:sz w:val="24"/>
          <w:szCs w:val="24"/>
        </w:rPr>
        <w:drawing>
          <wp:inline distT="0" distB="0" distL="0" distR="0" wp14:anchorId="78CF0E43" wp14:editId="4AEE9A7E">
            <wp:extent cx="5274310" cy="237617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2376170"/>
                    </a:xfrm>
                    <a:prstGeom prst="rect">
                      <a:avLst/>
                    </a:prstGeom>
                  </pic:spPr>
                </pic:pic>
              </a:graphicData>
            </a:graphic>
          </wp:inline>
        </w:drawing>
      </w:r>
    </w:p>
    <w:p w14:paraId="47F79756" w14:textId="3EA9A2C0" w:rsidR="00EF1957" w:rsidRDefault="00EF1957" w:rsidP="00EF1957">
      <w:pPr>
        <w:rPr>
          <w:rFonts w:ascii="宋体" w:eastAsia="宋体" w:hAnsi="宋体"/>
          <w:sz w:val="24"/>
          <w:szCs w:val="24"/>
        </w:rPr>
      </w:pPr>
      <w:r w:rsidRPr="00EF1957">
        <w:rPr>
          <w:rFonts w:ascii="宋体" w:eastAsia="宋体" w:hAnsi="宋体" w:hint="eastAsia"/>
          <w:sz w:val="24"/>
          <w:szCs w:val="24"/>
        </w:rPr>
        <w:t>试验示例</w:t>
      </w:r>
      <w:r w:rsidRPr="00EF1957">
        <w:rPr>
          <w:rFonts w:ascii="宋体" w:eastAsia="宋体" w:hAnsi="宋体"/>
          <w:sz w:val="24"/>
          <w:szCs w:val="24"/>
        </w:rPr>
        <w:t>-流动相组成比例变化比较</w:t>
      </w:r>
    </w:p>
    <w:p w14:paraId="0CD56476" w14:textId="354DDA44" w:rsidR="00D919A9" w:rsidRDefault="00D919A9" w:rsidP="00EF1957">
      <w:pPr>
        <w:rPr>
          <w:rFonts w:ascii="宋体" w:eastAsia="宋体" w:hAnsi="宋体" w:hint="eastAsia"/>
          <w:sz w:val="24"/>
          <w:szCs w:val="24"/>
        </w:rPr>
      </w:pPr>
      <w:r>
        <w:rPr>
          <w:rFonts w:ascii="宋体" w:eastAsia="宋体" w:hAnsi="宋体" w:hint="eastAsia"/>
          <w:noProof/>
          <w:sz w:val="24"/>
          <w:szCs w:val="24"/>
        </w:rPr>
        <w:drawing>
          <wp:inline distT="0" distB="0" distL="0" distR="0" wp14:anchorId="06BB3A73" wp14:editId="19D51AD9">
            <wp:extent cx="5274310" cy="179514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1795145"/>
                    </a:xfrm>
                    <a:prstGeom prst="rect">
                      <a:avLst/>
                    </a:prstGeom>
                  </pic:spPr>
                </pic:pic>
              </a:graphicData>
            </a:graphic>
          </wp:inline>
        </w:drawing>
      </w:r>
    </w:p>
    <w:p w14:paraId="3AE508F7" w14:textId="1F73C44F" w:rsidR="00EF1957" w:rsidRDefault="00EF1957" w:rsidP="00EF1957">
      <w:pPr>
        <w:rPr>
          <w:rFonts w:ascii="宋体" w:eastAsia="宋体" w:hAnsi="宋体"/>
          <w:sz w:val="24"/>
          <w:szCs w:val="24"/>
        </w:rPr>
      </w:pPr>
      <w:r w:rsidRPr="00EF1957">
        <w:rPr>
          <w:rFonts w:ascii="宋体" w:eastAsia="宋体" w:hAnsi="宋体" w:hint="eastAsia"/>
          <w:sz w:val="24"/>
          <w:szCs w:val="24"/>
        </w:rPr>
        <w:t>某含量测定－提取条件选择</w:t>
      </w:r>
    </w:p>
    <w:p w14:paraId="373EDD7F" w14:textId="13E994E8" w:rsidR="00D919A9" w:rsidRDefault="00D919A9" w:rsidP="00EF1957">
      <w:pPr>
        <w:rPr>
          <w:rFonts w:ascii="宋体" w:eastAsia="宋体" w:hAnsi="宋体" w:hint="eastAsia"/>
          <w:sz w:val="24"/>
          <w:szCs w:val="24"/>
        </w:rPr>
      </w:pPr>
      <w:r>
        <w:rPr>
          <w:rFonts w:ascii="宋体" w:eastAsia="宋体" w:hAnsi="宋体" w:hint="eastAsia"/>
          <w:noProof/>
          <w:sz w:val="24"/>
          <w:szCs w:val="24"/>
        </w:rPr>
        <w:lastRenderedPageBreak/>
        <w:drawing>
          <wp:inline distT="0" distB="0" distL="0" distR="0" wp14:anchorId="03024A86" wp14:editId="21A9FE19">
            <wp:extent cx="5274310" cy="25463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2546350"/>
                    </a:xfrm>
                    <a:prstGeom prst="rect">
                      <a:avLst/>
                    </a:prstGeom>
                  </pic:spPr>
                </pic:pic>
              </a:graphicData>
            </a:graphic>
          </wp:inline>
        </w:drawing>
      </w:r>
    </w:p>
    <w:p w14:paraId="34BFD28E" w14:textId="00759BC2"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系统适用性试验</w:t>
      </w:r>
    </w:p>
    <w:p w14:paraId="3DFD59BE"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系统适用性实验是许多分析方法的组成部分，这些实验的基本概念是要把由分析设备、电子仪器、实验操作和被分析样品所组成的完整系统进行整体评估。对于特定方法的系统适应性参数的建立依赖于被验证方法的类型。进一步信息可参考药典。</w:t>
      </w:r>
    </w:p>
    <w:p w14:paraId="3B68A4CA"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验证检测项目小结</w:t>
      </w:r>
    </w:p>
    <w:p w14:paraId="3886C043"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1. 鉴别</w:t>
      </w:r>
    </w:p>
    <w:p w14:paraId="248A8CE1"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鉴别的目的在于判定被分析物是目标化合物，而非其它物质，用于鉴别的分析方法要求具有较强的专属性。</w:t>
      </w:r>
    </w:p>
    <w:p w14:paraId="724B529A"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2. 杂质检查（限度试验、定量试验）</w:t>
      </w:r>
    </w:p>
    <w:p w14:paraId="4EACC6FF"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杂质检查主要用于控制主成分以外的杂质，如有机杂质、无机杂质等。</w:t>
      </w:r>
    </w:p>
    <w:p w14:paraId="555AF196"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杂质检查要准确反应</w:t>
      </w:r>
      <w:proofErr w:type="gramStart"/>
      <w:r w:rsidRPr="00EF1957">
        <w:rPr>
          <w:rFonts w:ascii="宋体" w:eastAsia="宋体" w:hAnsi="宋体" w:hint="eastAsia"/>
          <w:sz w:val="24"/>
          <w:szCs w:val="24"/>
        </w:rPr>
        <w:t>供试品的</w:t>
      </w:r>
      <w:proofErr w:type="gramEnd"/>
      <w:r w:rsidRPr="00EF1957">
        <w:rPr>
          <w:rFonts w:ascii="宋体" w:eastAsia="宋体" w:hAnsi="宋体" w:hint="eastAsia"/>
          <w:sz w:val="24"/>
          <w:szCs w:val="24"/>
        </w:rPr>
        <w:t>纯度特性，可分为限度试验和定量试验两种情况。用于限度试验的分析方法验证侧重专属性和检测限。用于定量试验的分析方法验证强调专属性、准确度和定量限。</w:t>
      </w:r>
      <w:r w:rsidRPr="00EF1957">
        <w:rPr>
          <w:rFonts w:ascii="宋体" w:eastAsia="宋体" w:hAnsi="宋体"/>
          <w:sz w:val="24"/>
          <w:szCs w:val="24"/>
        </w:rPr>
        <w:t xml:space="preserve"> </w:t>
      </w:r>
    </w:p>
    <w:p w14:paraId="1CF2F63D"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3. 定量测定</w:t>
      </w:r>
    </w:p>
    <w:p w14:paraId="2FDD4778"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定量测定包括含量测定、制剂的溶出度（释放度）测定等，由于此类项目对准确性要求较高，故所采用的分析方法要求具有一定的专属性、准确度和线性。</w:t>
      </w:r>
    </w:p>
    <w:p w14:paraId="570BA11B"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4. 其他特定检测项目</w:t>
      </w:r>
    </w:p>
    <w:p w14:paraId="743072D4"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其他特定检测项目包括粒径分布、旋光度、分子量分布等，由于这些检测项目的要求与鉴别、杂质检查、定量测定等有所不同，对于这些项目的分析方法验证应有不同的要求。</w:t>
      </w:r>
    </w:p>
    <w:p w14:paraId="2E340169" w14:textId="1185C75C" w:rsidR="00EF1957" w:rsidRDefault="00EF1957" w:rsidP="00EF1957">
      <w:pPr>
        <w:rPr>
          <w:rFonts w:ascii="宋体" w:eastAsia="宋体" w:hAnsi="宋体"/>
          <w:sz w:val="24"/>
          <w:szCs w:val="24"/>
        </w:rPr>
      </w:pPr>
      <w:r w:rsidRPr="00EF1957">
        <w:rPr>
          <w:rFonts w:ascii="宋体" w:eastAsia="宋体" w:hAnsi="宋体" w:hint="eastAsia"/>
          <w:sz w:val="24"/>
          <w:szCs w:val="24"/>
        </w:rPr>
        <w:t>需验证项目</w:t>
      </w:r>
    </w:p>
    <w:p w14:paraId="543DCE14" w14:textId="43366E7A" w:rsidR="00D919A9" w:rsidRDefault="00D919A9" w:rsidP="00EF1957">
      <w:pPr>
        <w:rPr>
          <w:rFonts w:ascii="宋体" w:eastAsia="宋体" w:hAnsi="宋体" w:hint="eastAsia"/>
          <w:sz w:val="24"/>
          <w:szCs w:val="24"/>
        </w:rPr>
      </w:pPr>
      <w:r>
        <w:rPr>
          <w:rFonts w:ascii="宋体" w:eastAsia="宋体" w:hAnsi="宋体" w:hint="eastAsia"/>
          <w:noProof/>
          <w:sz w:val="24"/>
          <w:szCs w:val="24"/>
        </w:rPr>
        <w:lastRenderedPageBreak/>
        <w:drawing>
          <wp:inline distT="0" distB="0" distL="0" distR="0" wp14:anchorId="1A391BC2" wp14:editId="3171E8E2">
            <wp:extent cx="5274310" cy="29610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2961005"/>
                    </a:xfrm>
                    <a:prstGeom prst="rect">
                      <a:avLst/>
                    </a:prstGeom>
                  </pic:spPr>
                </pic:pic>
              </a:graphicData>
            </a:graphic>
          </wp:inline>
        </w:drawing>
      </w:r>
    </w:p>
    <w:p w14:paraId="476C4462" w14:textId="7F95BB01"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注意：</w:t>
      </w:r>
      <w:r w:rsidRPr="00EF1957">
        <w:rPr>
          <w:rFonts w:ascii="宋体" w:eastAsia="宋体" w:hAnsi="宋体"/>
          <w:sz w:val="24"/>
          <w:szCs w:val="24"/>
        </w:rPr>
        <w:t>-表示通常不需要做的项目；+表示通常需要做的项目。</w:t>
      </w:r>
    </w:p>
    <w:p w14:paraId="1F8844B6"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①假如已做了重现性（见术语表），就不需再做中间精密度。</w:t>
      </w:r>
    </w:p>
    <w:p w14:paraId="49C0BD2E"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②分析方法缺乏专属性，可以由其他分析方法来补充。</w:t>
      </w:r>
    </w:p>
    <w:p w14:paraId="022656FF"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③有些情况下可能需要。</w:t>
      </w:r>
    </w:p>
    <w:p w14:paraId="13E41A7B"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分析方法验证的方式和步骤</w:t>
      </w:r>
    </w:p>
    <w:p w14:paraId="30D889BF"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分析方法应给出完成每个分析试验所需的详细步骤。</w:t>
      </w:r>
    </w:p>
    <w:p w14:paraId="7E29438B"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1）可能包括供试品、对照品和试剂的配制和制备；</w:t>
      </w:r>
    </w:p>
    <w:p w14:paraId="10111F90"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2）仪器的使用说明；</w:t>
      </w:r>
    </w:p>
    <w:p w14:paraId="7BF498B9"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3）标准曲线的绘制；</w:t>
      </w:r>
    </w:p>
    <w:p w14:paraId="7193E0FF"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4）计算公式的使用等信息，</w:t>
      </w:r>
    </w:p>
    <w:p w14:paraId="512B9723"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当然，分析方法的内容不仅限于上述信息。</w:t>
      </w:r>
    </w:p>
    <w:p w14:paraId="10520757"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在实际工作中，可以对实验工作进行充分的设计，使得可以同时考察多个适当的验证项目，提供分析方法科学的、综合的能力情况，比如：专属性、线性、范围、准确度和精密度等。</w:t>
      </w:r>
    </w:p>
    <w:p w14:paraId="35F03E1E"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分析方法验证常见问题</w:t>
      </w:r>
    </w:p>
    <w:p w14:paraId="5C8BD080"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药味的选择问题：</w:t>
      </w:r>
    </w:p>
    <w:p w14:paraId="7ACAA2E7"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w:t>
      </w:r>
      <w:proofErr w:type="gramStart"/>
      <w:r w:rsidRPr="00EF1957">
        <w:rPr>
          <w:rFonts w:ascii="宋体" w:eastAsia="宋体" w:hAnsi="宋体"/>
          <w:sz w:val="24"/>
          <w:szCs w:val="24"/>
        </w:rPr>
        <w:t>供试品溶液</w:t>
      </w:r>
      <w:proofErr w:type="gramEnd"/>
      <w:r w:rsidRPr="00EF1957">
        <w:rPr>
          <w:rFonts w:ascii="宋体" w:eastAsia="宋体" w:hAnsi="宋体"/>
          <w:sz w:val="24"/>
          <w:szCs w:val="24"/>
        </w:rPr>
        <w:t xml:space="preserve">制备考察不全面 </w:t>
      </w:r>
    </w:p>
    <w:p w14:paraId="4AD8610B"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2）对照品溶液浓度与</w:t>
      </w:r>
      <w:proofErr w:type="gramStart"/>
      <w:r w:rsidRPr="00EF1957">
        <w:rPr>
          <w:rFonts w:ascii="宋体" w:eastAsia="宋体" w:hAnsi="宋体"/>
          <w:sz w:val="24"/>
          <w:szCs w:val="24"/>
        </w:rPr>
        <w:t>供试品不</w:t>
      </w:r>
      <w:proofErr w:type="gramEnd"/>
      <w:r w:rsidRPr="00EF1957">
        <w:rPr>
          <w:rFonts w:ascii="宋体" w:eastAsia="宋体" w:hAnsi="宋体"/>
          <w:sz w:val="24"/>
          <w:szCs w:val="24"/>
        </w:rPr>
        <w:t>匹配</w:t>
      </w:r>
    </w:p>
    <w:p w14:paraId="6A0FB6D7"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3）标准曲线的制备  样品测定不在线性范围之内取样、范围太小、单位等问题</w:t>
      </w:r>
    </w:p>
    <w:p w14:paraId="77E639C2"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4）色谱条件的选择  应详述理由并附相关图谱</w:t>
      </w:r>
    </w:p>
    <w:p w14:paraId="5642B7A5"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5）方法改变后应与原方法作比较</w:t>
      </w:r>
    </w:p>
    <w:p w14:paraId="588C0BA2"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6）对照品溶液的制备  对照品称量难以达到精密称定的要求</w:t>
      </w:r>
    </w:p>
    <w:p w14:paraId="0FA725C3"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7）回收率测定问题</w:t>
      </w:r>
    </w:p>
    <w:p w14:paraId="1A607080"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耐用性考察问题：</w:t>
      </w:r>
    </w:p>
    <w:p w14:paraId="00C89CFF"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1）特殊剂型如</w:t>
      </w:r>
      <w:proofErr w:type="gramStart"/>
      <w:r w:rsidRPr="00EF1957">
        <w:rPr>
          <w:rFonts w:ascii="宋体" w:eastAsia="宋体" w:hAnsi="宋体"/>
          <w:sz w:val="24"/>
          <w:szCs w:val="24"/>
        </w:rPr>
        <w:t>分散片建议</w:t>
      </w:r>
      <w:proofErr w:type="gramEnd"/>
      <w:r w:rsidRPr="00EF1957">
        <w:rPr>
          <w:rFonts w:ascii="宋体" w:eastAsia="宋体" w:hAnsi="宋体"/>
          <w:sz w:val="24"/>
          <w:szCs w:val="24"/>
        </w:rPr>
        <w:t>研究建立主要成分的溶出度检查方法 ，限度的制定有时不能照搬二部药典。</w:t>
      </w:r>
    </w:p>
    <w:p w14:paraId="2B3B827C"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2）单味制剂，应作辅料空白样品，进行空白对照试验。</w:t>
      </w:r>
    </w:p>
    <w:p w14:paraId="1CDD03E0" w14:textId="77777777" w:rsid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3）正文，不规范。</w:t>
      </w:r>
    </w:p>
    <w:p w14:paraId="6FBD9338" w14:textId="77777777" w:rsidR="00EF1957" w:rsidRDefault="00EF1957" w:rsidP="00EF1957">
      <w:pPr>
        <w:rPr>
          <w:rFonts w:ascii="宋体" w:eastAsia="宋体" w:hAnsi="宋体"/>
          <w:sz w:val="24"/>
          <w:szCs w:val="24"/>
        </w:rPr>
      </w:pPr>
      <w:r w:rsidRPr="00EF1957">
        <w:rPr>
          <w:rFonts w:ascii="宋体" w:eastAsia="宋体" w:hAnsi="宋体" w:hint="eastAsia"/>
          <w:sz w:val="24"/>
          <w:szCs w:val="24"/>
        </w:rPr>
        <w:lastRenderedPageBreak/>
        <w:t>三、分析方法确认</w:t>
      </w:r>
    </w:p>
    <w:p w14:paraId="2C144780" w14:textId="65EA7CAB" w:rsidR="00EF1957" w:rsidRPr="00EF1957" w:rsidRDefault="00EF1957" w:rsidP="00EF1957">
      <w:pPr>
        <w:rPr>
          <w:rFonts w:ascii="宋体" w:eastAsia="宋体" w:hAnsi="宋体"/>
          <w:sz w:val="24"/>
          <w:szCs w:val="24"/>
        </w:rPr>
      </w:pPr>
      <w:r w:rsidRPr="00EF1957">
        <w:rPr>
          <w:rFonts w:ascii="宋体" w:eastAsia="宋体" w:hAnsi="宋体"/>
          <w:sz w:val="24"/>
          <w:szCs w:val="24"/>
        </w:rPr>
        <w:t>1. 分析方法确认：</w:t>
      </w:r>
    </w:p>
    <w:p w14:paraId="2107D092"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sz w:val="24"/>
          <w:szCs w:val="24"/>
        </w:rPr>
        <w:t xml:space="preserve"> 一个阐述通过已验证方法进行产品测试的条件确实适合于该验证方法的过程。</w:t>
      </w:r>
    </w:p>
    <w:p w14:paraId="43D92710"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2. 适用范围：</w:t>
      </w:r>
    </w:p>
    <w:p w14:paraId="7CBC6939"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物料和产品中不需要进行验证的检验方法以及药典方法和其他已验证的法定标准。通过方法确认来证明在本实验室条件下的适用性。</w:t>
      </w:r>
    </w:p>
    <w:p w14:paraId="631DBCCC"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3. 不适用于：</w:t>
      </w:r>
    </w:p>
    <w:p w14:paraId="06E0B927" w14:textId="77777777" w:rsidR="00EF1957" w:rsidRP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日常检验一般理化方法。如干燥失重、炽灼残渣；分析方法的验证通常在产品的研发阶段已经进行；</w:t>
      </w:r>
      <w:r w:rsidRPr="00EF1957">
        <w:rPr>
          <w:rFonts w:ascii="宋体" w:eastAsia="宋体" w:hAnsi="宋体"/>
          <w:sz w:val="24"/>
          <w:szCs w:val="24"/>
        </w:rPr>
        <w:t xml:space="preserve"> 应关注不同实验室之间方法转移时的确认。</w:t>
      </w:r>
    </w:p>
    <w:p w14:paraId="762BB4E1"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采用药典规定的检验方法需要确认的目的：</w:t>
      </w:r>
    </w:p>
    <w:p w14:paraId="05C6FFEC"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1）在于提供第一次使用实验室的人员、设备和试剂进行法定分析方法确认时得到可接受结果的基本信息。</w:t>
      </w:r>
    </w:p>
    <w:p w14:paraId="3E54AEAA"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2）确认包括所选择的方法性能参数，如那些在USP&lt;1225&gt;中描述的，是产生相关数据而不是重复验证过程。</w:t>
      </w:r>
    </w:p>
    <w:p w14:paraId="51BD96DC"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3）方法使用者应有相当的经验、知识并经过培训能够按照书面的法定方法进行操作。由使用者进行方法确认可以提供法定方法能够适合相应的测试目的的信心。</w:t>
      </w:r>
    </w:p>
    <w:p w14:paraId="71514D5C" w14:textId="77777777" w:rsidR="00EF1957" w:rsidRPr="00EF1957" w:rsidRDefault="00EF1957" w:rsidP="00EF1957">
      <w:pPr>
        <w:rPr>
          <w:rFonts w:ascii="宋体" w:eastAsia="宋体" w:hAnsi="宋体"/>
          <w:sz w:val="24"/>
          <w:szCs w:val="24"/>
        </w:rPr>
      </w:pPr>
      <w:r w:rsidRPr="00EF1957">
        <w:rPr>
          <w:rFonts w:ascii="宋体" w:eastAsia="宋体" w:hAnsi="宋体" w:hint="eastAsia"/>
          <w:sz w:val="24"/>
          <w:szCs w:val="24"/>
        </w:rPr>
        <w:t>（</w:t>
      </w:r>
      <w:r w:rsidRPr="00EF1957">
        <w:rPr>
          <w:rFonts w:ascii="宋体" w:eastAsia="宋体" w:hAnsi="宋体"/>
          <w:sz w:val="24"/>
          <w:szCs w:val="24"/>
        </w:rPr>
        <w:t>4）</w:t>
      </w:r>
      <w:proofErr w:type="gramStart"/>
      <w:r w:rsidRPr="00EF1957">
        <w:rPr>
          <w:rFonts w:ascii="宋体" w:eastAsia="宋体" w:hAnsi="宋体"/>
          <w:sz w:val="24"/>
          <w:szCs w:val="24"/>
        </w:rPr>
        <w:t>尽管缺认法定</w:t>
      </w:r>
      <w:proofErr w:type="gramEnd"/>
      <w:r w:rsidRPr="00EF1957">
        <w:rPr>
          <w:rFonts w:ascii="宋体" w:eastAsia="宋体" w:hAnsi="宋体"/>
          <w:sz w:val="24"/>
          <w:szCs w:val="24"/>
        </w:rPr>
        <w:t>方法在真实条件下使用时的适应性不需要进行完整的再验证过程，列在&lt;1225&gt;表2中的一些分析参数可以在确认过程中使用。特定方法的</w:t>
      </w:r>
      <w:proofErr w:type="gramStart"/>
      <w:r w:rsidRPr="00EF1957">
        <w:rPr>
          <w:rFonts w:ascii="宋体" w:eastAsia="宋体" w:hAnsi="宋体"/>
          <w:sz w:val="24"/>
          <w:szCs w:val="24"/>
        </w:rPr>
        <w:t>确认仅</w:t>
      </w:r>
      <w:proofErr w:type="gramEnd"/>
      <w:r w:rsidRPr="00EF1957">
        <w:rPr>
          <w:rFonts w:ascii="宋体" w:eastAsia="宋体" w:hAnsi="宋体"/>
          <w:sz w:val="24"/>
          <w:szCs w:val="24"/>
        </w:rPr>
        <w:t>需要对被认为适宜的参数进行评估。</w:t>
      </w:r>
    </w:p>
    <w:p w14:paraId="5711C1A6" w14:textId="77777777" w:rsidR="00EF1957" w:rsidRPr="00EF1957" w:rsidRDefault="00EF1957" w:rsidP="00EF1957">
      <w:pPr>
        <w:rPr>
          <w:rFonts w:ascii="宋体" w:eastAsia="宋体" w:hAnsi="宋体"/>
          <w:sz w:val="24"/>
          <w:szCs w:val="24"/>
        </w:rPr>
      </w:pPr>
      <w:r w:rsidRPr="00EF1957">
        <w:rPr>
          <w:rFonts w:ascii="宋体" w:eastAsia="宋体" w:hAnsi="宋体"/>
          <w:sz w:val="24"/>
          <w:szCs w:val="24"/>
        </w:rPr>
        <w:t>&lt;1226&gt;法定方法确认：</w:t>
      </w:r>
    </w:p>
    <w:p w14:paraId="7CC28FBE" w14:textId="79FFFA78" w:rsidR="00EF1957" w:rsidRDefault="00EF1957" w:rsidP="00D919A9">
      <w:pPr>
        <w:ind w:firstLineChars="200" w:firstLine="480"/>
        <w:rPr>
          <w:rFonts w:ascii="宋体" w:eastAsia="宋体" w:hAnsi="宋体"/>
          <w:sz w:val="24"/>
          <w:szCs w:val="24"/>
        </w:rPr>
      </w:pPr>
      <w:r w:rsidRPr="00EF1957">
        <w:rPr>
          <w:rFonts w:ascii="宋体" w:eastAsia="宋体" w:hAnsi="宋体" w:hint="eastAsia"/>
          <w:sz w:val="24"/>
          <w:szCs w:val="24"/>
        </w:rPr>
        <w:t>除非有迹象显示法定方法不适应</w:t>
      </w:r>
      <w:proofErr w:type="gramStart"/>
      <w:r w:rsidRPr="00EF1957">
        <w:rPr>
          <w:rFonts w:ascii="宋体" w:eastAsia="宋体" w:hAnsi="宋体" w:hint="eastAsia"/>
          <w:sz w:val="24"/>
          <w:szCs w:val="24"/>
        </w:rPr>
        <w:t>各论下测试</w:t>
      </w:r>
      <w:proofErr w:type="gramEnd"/>
      <w:r w:rsidRPr="00EF1957">
        <w:rPr>
          <w:rFonts w:ascii="宋体" w:eastAsia="宋体" w:hAnsi="宋体" w:hint="eastAsia"/>
          <w:sz w:val="24"/>
          <w:szCs w:val="24"/>
        </w:rPr>
        <w:t>要求，一些基本的常规方法不需要做验证。基本法定分析方法包括但不限于：干燥失重、炽灼残渣、各种化学检测如酸度检测，简单的仪器分析如用</w:t>
      </w:r>
      <w:r w:rsidRPr="00EF1957">
        <w:rPr>
          <w:rFonts w:ascii="宋体" w:eastAsia="宋体" w:hAnsi="宋体"/>
          <w:sz w:val="24"/>
          <w:szCs w:val="24"/>
        </w:rPr>
        <w:t>pH值测试仪测定pH值。药典建议，对于首次使用药典方法进行常规检测的实验，应考虑到任何新的或不同的样品或溶液的处理要求。</w:t>
      </w:r>
    </w:p>
    <w:p w14:paraId="6C38BBA9" w14:textId="07048474" w:rsidR="00D919A9" w:rsidRDefault="00D919A9" w:rsidP="00D919A9">
      <w:pPr>
        <w:ind w:firstLineChars="200" w:firstLine="480"/>
        <w:rPr>
          <w:rFonts w:ascii="宋体" w:eastAsia="宋体" w:hAnsi="宋体" w:hint="eastAsia"/>
          <w:sz w:val="24"/>
          <w:szCs w:val="24"/>
        </w:rPr>
      </w:pPr>
      <w:r>
        <w:rPr>
          <w:rFonts w:ascii="宋体" w:eastAsia="宋体" w:hAnsi="宋体" w:hint="eastAsia"/>
          <w:noProof/>
          <w:sz w:val="24"/>
          <w:szCs w:val="24"/>
        </w:rPr>
        <w:drawing>
          <wp:inline distT="0" distB="0" distL="0" distR="0" wp14:anchorId="535A1947" wp14:editId="22C48ED0">
            <wp:extent cx="5274310" cy="345376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7.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3453765"/>
                    </a:xfrm>
                    <a:prstGeom prst="rect">
                      <a:avLst/>
                    </a:prstGeom>
                  </pic:spPr>
                </pic:pic>
              </a:graphicData>
            </a:graphic>
          </wp:inline>
        </w:drawing>
      </w:r>
    </w:p>
    <w:p w14:paraId="22BA05E4" w14:textId="77777777" w:rsidR="00EF1957" w:rsidRDefault="00EF1957" w:rsidP="00EF1957">
      <w:pPr>
        <w:rPr>
          <w:rFonts w:ascii="宋体" w:eastAsia="宋体" w:hAnsi="宋体"/>
          <w:sz w:val="24"/>
          <w:szCs w:val="24"/>
        </w:rPr>
      </w:pPr>
      <w:r w:rsidRPr="00EF1957">
        <w:rPr>
          <w:rFonts w:ascii="宋体" w:eastAsia="宋体" w:hAnsi="宋体" w:hint="eastAsia"/>
          <w:sz w:val="24"/>
          <w:szCs w:val="24"/>
        </w:rPr>
        <w:lastRenderedPageBreak/>
        <w:t>原料药检测方法示例</w:t>
      </w:r>
    </w:p>
    <w:p w14:paraId="2F8183C2" w14:textId="585FB3B2" w:rsidR="00EF1957" w:rsidRDefault="00D919A9" w:rsidP="00EF1957">
      <w:pPr>
        <w:rPr>
          <w:rFonts w:ascii="宋体" w:eastAsia="宋体" w:hAnsi="宋体"/>
          <w:sz w:val="24"/>
          <w:szCs w:val="24"/>
        </w:rPr>
      </w:pPr>
      <w:r>
        <w:rPr>
          <w:rFonts w:ascii="宋体" w:eastAsia="宋体" w:hAnsi="宋体"/>
          <w:noProof/>
          <w:sz w:val="24"/>
          <w:szCs w:val="24"/>
        </w:rPr>
        <w:drawing>
          <wp:inline distT="0" distB="0" distL="0" distR="0" wp14:anchorId="0E5AB4A6" wp14:editId="3D2ABBDF">
            <wp:extent cx="5274310" cy="339915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3399155"/>
                    </a:xfrm>
                    <a:prstGeom prst="rect">
                      <a:avLst/>
                    </a:prstGeom>
                  </pic:spPr>
                </pic:pic>
              </a:graphicData>
            </a:graphic>
          </wp:inline>
        </w:drawing>
      </w:r>
      <w:r>
        <w:rPr>
          <w:rFonts w:ascii="宋体" w:eastAsia="宋体" w:hAnsi="宋体"/>
          <w:noProof/>
          <w:sz w:val="24"/>
          <w:szCs w:val="24"/>
        </w:rPr>
        <w:drawing>
          <wp:inline distT="0" distB="0" distL="0" distR="0" wp14:anchorId="362F9825" wp14:editId="7014CAD9">
            <wp:extent cx="5274310" cy="353314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3533140"/>
                    </a:xfrm>
                    <a:prstGeom prst="rect">
                      <a:avLst/>
                    </a:prstGeom>
                  </pic:spPr>
                </pic:pic>
              </a:graphicData>
            </a:graphic>
          </wp:inline>
        </w:drawing>
      </w:r>
      <w:r>
        <w:rPr>
          <w:rFonts w:ascii="宋体" w:eastAsia="宋体" w:hAnsi="宋体"/>
          <w:noProof/>
          <w:sz w:val="24"/>
          <w:szCs w:val="24"/>
        </w:rPr>
        <w:lastRenderedPageBreak/>
        <w:drawing>
          <wp:inline distT="0" distB="0" distL="0" distR="0" wp14:anchorId="1CA58188" wp14:editId="4A93A3FC">
            <wp:extent cx="5274310" cy="34296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3429635"/>
                    </a:xfrm>
                    <a:prstGeom prst="rect">
                      <a:avLst/>
                    </a:prstGeom>
                  </pic:spPr>
                </pic:pic>
              </a:graphicData>
            </a:graphic>
          </wp:inline>
        </w:drawing>
      </w:r>
      <w:r>
        <w:rPr>
          <w:rFonts w:ascii="宋体" w:eastAsia="宋体" w:hAnsi="宋体"/>
          <w:noProof/>
          <w:sz w:val="24"/>
          <w:szCs w:val="24"/>
        </w:rPr>
        <w:drawing>
          <wp:inline distT="0" distB="0" distL="0" distR="0" wp14:anchorId="400C87EA" wp14:editId="28BE5AC5">
            <wp:extent cx="5274310" cy="363410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3634105"/>
                    </a:xfrm>
                    <a:prstGeom prst="rect">
                      <a:avLst/>
                    </a:prstGeom>
                  </pic:spPr>
                </pic:pic>
              </a:graphicData>
            </a:graphic>
          </wp:inline>
        </w:drawing>
      </w:r>
      <w:r>
        <w:rPr>
          <w:rFonts w:ascii="宋体" w:eastAsia="宋体" w:hAnsi="宋体"/>
          <w:noProof/>
          <w:sz w:val="24"/>
          <w:szCs w:val="24"/>
        </w:rPr>
        <w:lastRenderedPageBreak/>
        <w:drawing>
          <wp:inline distT="0" distB="0" distL="0" distR="0" wp14:anchorId="6A7D9D16" wp14:editId="6CF511CF">
            <wp:extent cx="5274310" cy="3218815"/>
            <wp:effectExtent l="0" t="0" r="254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2.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218815"/>
                    </a:xfrm>
                    <a:prstGeom prst="rect">
                      <a:avLst/>
                    </a:prstGeom>
                  </pic:spPr>
                </pic:pic>
              </a:graphicData>
            </a:graphic>
          </wp:inline>
        </w:drawing>
      </w:r>
    </w:p>
    <w:p w14:paraId="46E2FD36" w14:textId="77777777" w:rsidR="00EF1957" w:rsidRDefault="00EF1957" w:rsidP="00EF1957">
      <w:pPr>
        <w:rPr>
          <w:rFonts w:ascii="宋体" w:eastAsia="宋体" w:hAnsi="宋体"/>
          <w:sz w:val="24"/>
          <w:szCs w:val="24"/>
        </w:rPr>
      </w:pPr>
      <w:r w:rsidRPr="00EF1957">
        <w:rPr>
          <w:rFonts w:ascii="宋体" w:eastAsia="宋体" w:hAnsi="宋体" w:hint="eastAsia"/>
          <w:sz w:val="24"/>
          <w:szCs w:val="24"/>
        </w:rPr>
        <w:t>制剂检测方法示例</w:t>
      </w:r>
    </w:p>
    <w:p w14:paraId="249EAEEE" w14:textId="4DA5536E" w:rsidR="00EF1957" w:rsidRDefault="00D919A9" w:rsidP="00EF1957">
      <w:pPr>
        <w:rPr>
          <w:rFonts w:ascii="宋体" w:eastAsia="宋体" w:hAnsi="宋体"/>
          <w:sz w:val="24"/>
          <w:szCs w:val="24"/>
        </w:rPr>
      </w:pPr>
      <w:r>
        <w:rPr>
          <w:rFonts w:ascii="宋体" w:eastAsia="宋体" w:hAnsi="宋体"/>
          <w:noProof/>
          <w:sz w:val="24"/>
          <w:szCs w:val="24"/>
        </w:rPr>
        <w:drawing>
          <wp:inline distT="0" distB="0" distL="0" distR="0" wp14:anchorId="07DD0C22" wp14:editId="065E28EB">
            <wp:extent cx="5274310" cy="287020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3.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2870200"/>
                    </a:xfrm>
                    <a:prstGeom prst="rect">
                      <a:avLst/>
                    </a:prstGeom>
                  </pic:spPr>
                </pic:pic>
              </a:graphicData>
            </a:graphic>
          </wp:inline>
        </w:drawing>
      </w:r>
      <w:r>
        <w:rPr>
          <w:rFonts w:ascii="宋体" w:eastAsia="宋体" w:hAnsi="宋体"/>
          <w:noProof/>
          <w:sz w:val="24"/>
          <w:szCs w:val="24"/>
        </w:rPr>
        <w:lastRenderedPageBreak/>
        <w:drawing>
          <wp:inline distT="0" distB="0" distL="0" distR="0" wp14:anchorId="3D7C93F2" wp14:editId="752290DA">
            <wp:extent cx="5274310" cy="2851150"/>
            <wp:effectExtent l="0" t="0" r="254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4.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2851150"/>
                    </a:xfrm>
                    <a:prstGeom prst="rect">
                      <a:avLst/>
                    </a:prstGeom>
                  </pic:spPr>
                </pic:pic>
              </a:graphicData>
            </a:graphic>
          </wp:inline>
        </w:drawing>
      </w:r>
      <w:r>
        <w:rPr>
          <w:rFonts w:ascii="宋体" w:eastAsia="宋体" w:hAnsi="宋体"/>
          <w:noProof/>
          <w:sz w:val="24"/>
          <w:szCs w:val="24"/>
        </w:rPr>
        <w:drawing>
          <wp:inline distT="0" distB="0" distL="0" distR="0" wp14:anchorId="0807CC8F" wp14:editId="2E79EA86">
            <wp:extent cx="5274310" cy="2776855"/>
            <wp:effectExtent l="0" t="0" r="254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5.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2776855"/>
                    </a:xfrm>
                    <a:prstGeom prst="rect">
                      <a:avLst/>
                    </a:prstGeom>
                  </pic:spPr>
                </pic:pic>
              </a:graphicData>
            </a:graphic>
          </wp:inline>
        </w:drawing>
      </w:r>
      <w:r>
        <w:rPr>
          <w:rFonts w:ascii="宋体" w:eastAsia="宋体" w:hAnsi="宋体"/>
          <w:noProof/>
          <w:sz w:val="24"/>
          <w:szCs w:val="24"/>
        </w:rPr>
        <w:drawing>
          <wp:inline distT="0" distB="0" distL="0" distR="0" wp14:anchorId="5A7E7E13" wp14:editId="6E42175B">
            <wp:extent cx="5274310" cy="28384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6.jpg"/>
                    <pic:cNvPicPr/>
                  </pic:nvPicPr>
                  <pic:blipFill>
                    <a:blip r:embed="rId25">
                      <a:extLst>
                        <a:ext uri="{28A0092B-C50C-407E-A947-70E740481C1C}">
                          <a14:useLocalDpi xmlns:a14="http://schemas.microsoft.com/office/drawing/2010/main" val="0"/>
                        </a:ext>
                      </a:extLst>
                    </a:blip>
                    <a:stretch>
                      <a:fillRect/>
                    </a:stretch>
                  </pic:blipFill>
                  <pic:spPr>
                    <a:xfrm>
                      <a:off x="0" y="0"/>
                      <a:ext cx="5274310" cy="2838450"/>
                    </a:xfrm>
                    <a:prstGeom prst="rect">
                      <a:avLst/>
                    </a:prstGeom>
                  </pic:spPr>
                </pic:pic>
              </a:graphicData>
            </a:graphic>
          </wp:inline>
        </w:drawing>
      </w:r>
    </w:p>
    <w:p w14:paraId="6709BCE7" w14:textId="77777777" w:rsidR="00EF1957" w:rsidRDefault="00EF1957" w:rsidP="00EF1957">
      <w:pPr>
        <w:rPr>
          <w:rFonts w:ascii="宋体" w:eastAsia="宋体" w:hAnsi="宋体"/>
          <w:sz w:val="24"/>
          <w:szCs w:val="24"/>
        </w:rPr>
      </w:pPr>
      <w:r w:rsidRPr="00EF1957">
        <w:rPr>
          <w:rFonts w:ascii="宋体" w:eastAsia="宋体" w:hAnsi="宋体" w:hint="eastAsia"/>
          <w:sz w:val="24"/>
          <w:szCs w:val="24"/>
        </w:rPr>
        <w:lastRenderedPageBreak/>
        <w:t>如果缺少指导书可能影响检测结果，实验室应具有所有相关设备的使用和操作指导书以及处置、准备检测物品的指导书，或者二者兼有。所有与实验室工作有关的指导书、标准、手册和参考资料应保持现行有效并易于员工取阅。</w:t>
      </w:r>
    </w:p>
    <w:p w14:paraId="0EC93D70" w14:textId="77777777" w:rsidR="00EF1957" w:rsidRDefault="00EF1957" w:rsidP="00EF1957">
      <w:pPr>
        <w:rPr>
          <w:rFonts w:ascii="宋体" w:eastAsia="宋体" w:hAnsi="宋体"/>
          <w:sz w:val="24"/>
          <w:szCs w:val="24"/>
        </w:rPr>
      </w:pPr>
      <w:r w:rsidRPr="00EF1957">
        <w:rPr>
          <w:rFonts w:ascii="宋体" w:eastAsia="宋体" w:hAnsi="宋体" w:hint="eastAsia"/>
          <w:sz w:val="24"/>
          <w:szCs w:val="24"/>
        </w:rPr>
        <w:t>四、分析方法的验证、确认及方法转移总结</w:t>
      </w:r>
    </w:p>
    <w:p w14:paraId="1C867B82" w14:textId="6E78FAA3" w:rsidR="001D5CBF" w:rsidRPr="00EF1957" w:rsidRDefault="00D919A9">
      <w:pPr>
        <w:rPr>
          <w:rFonts w:ascii="宋体" w:eastAsia="宋体" w:hAnsi="宋体"/>
          <w:sz w:val="24"/>
          <w:szCs w:val="24"/>
        </w:rPr>
      </w:pPr>
      <w:r>
        <w:rPr>
          <w:rFonts w:ascii="宋体" w:eastAsia="宋体" w:hAnsi="宋体"/>
          <w:noProof/>
          <w:sz w:val="24"/>
          <w:szCs w:val="24"/>
        </w:rPr>
        <w:drawing>
          <wp:inline distT="0" distB="0" distL="0" distR="0" wp14:anchorId="32343A53" wp14:editId="0DF33D3E">
            <wp:extent cx="5274310" cy="325183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7.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3251835"/>
                    </a:xfrm>
                    <a:prstGeom prst="rect">
                      <a:avLst/>
                    </a:prstGeom>
                  </pic:spPr>
                </pic:pic>
              </a:graphicData>
            </a:graphic>
          </wp:inline>
        </w:drawing>
      </w:r>
    </w:p>
    <w:sectPr w:rsidR="001D5CBF" w:rsidRPr="00EF195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305"/>
    <w:rsid w:val="001D5CBF"/>
    <w:rsid w:val="003C3305"/>
    <w:rsid w:val="00C873EA"/>
    <w:rsid w:val="00D919A9"/>
    <w:rsid w:val="00EF1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3A348"/>
  <w15:chartTrackingRefBased/>
  <w15:docId w15:val="{ABCBF699-A3ED-463C-A5B2-A9B65F868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892</Words>
  <Characters>5088</Characters>
  <Application>Microsoft Office Word</Application>
  <DocSecurity>0</DocSecurity>
  <Lines>42</Lines>
  <Paragraphs>11</Paragraphs>
  <ScaleCrop>false</ScaleCrop>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2019-07-28T13:42:00Z</dcterms:created>
  <dcterms:modified xsi:type="dcterms:W3CDTF">2019-07-28T13:59:00Z</dcterms:modified>
</cp:coreProperties>
</file>